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FD3D64"/>
    <w:p w14:paraId="3C9B0530">
      <w:pPr>
        <w:spacing w:line="540" w:lineRule="exact"/>
        <w:jc w:val="center"/>
        <w:rPr>
          <w:rFonts w:hint="default" w:ascii="Times New Roman" w:hAnsi="Times New Roman" w:eastAsia="华文中宋" w:cs="Times New Roman"/>
          <w:b/>
          <w:color w:val="auto"/>
          <w:kern w:val="0"/>
          <w:sz w:val="52"/>
          <w:szCs w:val="52"/>
          <w:highlight w:val="none"/>
        </w:rPr>
      </w:pPr>
    </w:p>
    <w:p w14:paraId="63E9EFF8">
      <w:pPr>
        <w:spacing w:line="540" w:lineRule="exact"/>
        <w:rPr>
          <w:rFonts w:hint="default" w:ascii="Times New Roman" w:hAnsi="Times New Roman" w:eastAsia="华文中宋" w:cs="Times New Roman"/>
          <w:b/>
          <w:color w:val="auto"/>
          <w:kern w:val="0"/>
          <w:sz w:val="52"/>
          <w:szCs w:val="52"/>
          <w:highlight w:val="none"/>
        </w:rPr>
      </w:pPr>
    </w:p>
    <w:p w14:paraId="341030DA">
      <w:pPr>
        <w:spacing w:line="540" w:lineRule="exact"/>
        <w:jc w:val="center"/>
        <w:rPr>
          <w:rFonts w:hint="default" w:ascii="Times New Roman" w:hAnsi="Times New Roman" w:eastAsia="华文中宋" w:cs="Times New Roman"/>
          <w:b/>
          <w:color w:val="auto"/>
          <w:kern w:val="0"/>
          <w:sz w:val="52"/>
          <w:szCs w:val="52"/>
          <w:highlight w:val="none"/>
        </w:rPr>
      </w:pPr>
    </w:p>
    <w:p w14:paraId="53A9B325">
      <w:pPr>
        <w:spacing w:line="540" w:lineRule="exact"/>
        <w:jc w:val="center"/>
        <w:rPr>
          <w:rFonts w:hint="default" w:ascii="Times New Roman" w:hAnsi="Times New Roman" w:eastAsia="华文中宋" w:cs="Times New Roman"/>
          <w:b/>
          <w:color w:val="auto"/>
          <w:kern w:val="0"/>
          <w:sz w:val="52"/>
          <w:szCs w:val="52"/>
          <w:highlight w:val="none"/>
        </w:rPr>
      </w:pPr>
    </w:p>
    <w:p w14:paraId="7BB34890">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托里县第二小学202</w:t>
      </w:r>
      <w:r>
        <w:rPr>
          <w:rFonts w:hint="eastAsia" w:eastAsia="方正小标宋_GBK" w:cs="Times New Roman"/>
          <w:color w:val="auto"/>
          <w:kern w:val="0"/>
          <w:sz w:val="48"/>
          <w:szCs w:val="48"/>
          <w:highlight w:val="none"/>
          <w:lang w:val="en-US" w:eastAsia="zh-CN"/>
        </w:rPr>
        <w:t>4</w:t>
      </w:r>
      <w:r>
        <w:rPr>
          <w:rFonts w:hint="default" w:ascii="Times New Roman" w:hAnsi="Times New Roman" w:eastAsia="方正小标宋_GBK" w:cs="Times New Roman"/>
          <w:color w:val="auto"/>
          <w:kern w:val="0"/>
          <w:sz w:val="48"/>
          <w:szCs w:val="48"/>
          <w:highlight w:val="none"/>
        </w:rPr>
        <w:t>年城乡义务教育保障机制经费项目支出绩效评价</w:t>
      </w:r>
    </w:p>
    <w:p w14:paraId="69BC29B8">
      <w:pPr>
        <w:spacing w:line="540" w:lineRule="exact"/>
        <w:jc w:val="center"/>
        <w:rPr>
          <w:rFonts w:hint="default" w:ascii="Times New Roman" w:hAnsi="Times New Roman" w:eastAsia="方正小标宋_GBK" w:cs="Times New Roman"/>
          <w:color w:val="auto"/>
          <w:kern w:val="0"/>
          <w:sz w:val="48"/>
          <w:szCs w:val="48"/>
          <w:highlight w:val="none"/>
        </w:rPr>
      </w:pPr>
      <w:r>
        <w:rPr>
          <w:rFonts w:hint="default" w:ascii="Times New Roman" w:hAnsi="Times New Roman" w:eastAsia="方正小标宋_GBK" w:cs="Times New Roman"/>
          <w:color w:val="auto"/>
          <w:kern w:val="0"/>
          <w:sz w:val="48"/>
          <w:szCs w:val="48"/>
          <w:highlight w:val="none"/>
        </w:rPr>
        <w:t>报告</w:t>
      </w:r>
    </w:p>
    <w:p w14:paraId="779EEF75">
      <w:pPr>
        <w:spacing w:line="540" w:lineRule="exact"/>
        <w:jc w:val="center"/>
        <w:rPr>
          <w:rFonts w:hint="default" w:ascii="Times New Roman" w:hAnsi="Times New Roman" w:eastAsia="华文中宋" w:cs="Times New Roman"/>
          <w:b/>
          <w:color w:val="auto"/>
          <w:kern w:val="0"/>
          <w:sz w:val="52"/>
          <w:szCs w:val="52"/>
          <w:highlight w:val="none"/>
        </w:rPr>
      </w:pPr>
    </w:p>
    <w:p w14:paraId="740726E6">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14:paraId="0984C11C">
      <w:pPr>
        <w:spacing w:line="540" w:lineRule="exact"/>
        <w:jc w:val="center"/>
        <w:rPr>
          <w:rFonts w:hint="default" w:ascii="Times New Roman" w:hAnsi="Times New Roman" w:eastAsia="仿宋_GB2312" w:cs="Times New Roman"/>
          <w:color w:val="auto"/>
          <w:kern w:val="0"/>
          <w:sz w:val="30"/>
          <w:szCs w:val="30"/>
          <w:highlight w:val="none"/>
        </w:rPr>
      </w:pPr>
    </w:p>
    <w:p w14:paraId="4B573BFF">
      <w:pPr>
        <w:spacing w:line="540" w:lineRule="exact"/>
        <w:jc w:val="center"/>
        <w:rPr>
          <w:rFonts w:hint="default" w:ascii="Times New Roman" w:hAnsi="Times New Roman" w:eastAsia="仿宋_GB2312" w:cs="Times New Roman"/>
          <w:color w:val="auto"/>
          <w:kern w:val="0"/>
          <w:sz w:val="30"/>
          <w:szCs w:val="30"/>
          <w:highlight w:val="none"/>
        </w:rPr>
      </w:pPr>
    </w:p>
    <w:p w14:paraId="0AD26C12">
      <w:pPr>
        <w:spacing w:line="540" w:lineRule="exact"/>
        <w:jc w:val="center"/>
        <w:rPr>
          <w:rFonts w:hint="default" w:ascii="Times New Roman" w:hAnsi="Times New Roman" w:eastAsia="仿宋_GB2312" w:cs="Times New Roman"/>
          <w:color w:val="auto"/>
          <w:kern w:val="0"/>
          <w:sz w:val="30"/>
          <w:szCs w:val="30"/>
          <w:highlight w:val="none"/>
        </w:rPr>
      </w:pPr>
    </w:p>
    <w:p w14:paraId="3CD4C612">
      <w:pPr>
        <w:pStyle w:val="9"/>
        <w:rPr>
          <w:rFonts w:hint="default" w:ascii="Times New Roman" w:hAnsi="Times New Roman" w:cs="Times New Roman"/>
          <w:color w:val="auto"/>
          <w:highlight w:val="none"/>
        </w:rPr>
      </w:pPr>
    </w:p>
    <w:p w14:paraId="030D451E">
      <w:pPr>
        <w:spacing w:line="540" w:lineRule="exact"/>
        <w:jc w:val="center"/>
        <w:rPr>
          <w:rFonts w:hint="default" w:ascii="Times New Roman" w:hAnsi="Times New Roman" w:eastAsia="仿宋_GB2312" w:cs="Times New Roman"/>
          <w:color w:val="auto"/>
          <w:kern w:val="0"/>
          <w:sz w:val="30"/>
          <w:szCs w:val="30"/>
          <w:highlight w:val="none"/>
        </w:rPr>
      </w:pPr>
    </w:p>
    <w:p w14:paraId="4EB46F1D">
      <w:pPr>
        <w:spacing w:line="540" w:lineRule="exact"/>
        <w:rPr>
          <w:rFonts w:hint="default" w:ascii="Times New Roman" w:hAnsi="Times New Roman" w:eastAsia="仿宋_GB2312" w:cs="Times New Roman"/>
          <w:color w:val="auto"/>
          <w:kern w:val="0"/>
          <w:sz w:val="30"/>
          <w:szCs w:val="30"/>
          <w:highlight w:val="none"/>
        </w:rPr>
      </w:pPr>
    </w:p>
    <w:p w14:paraId="1FFED798">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项目名称：城乡义务教育保障机制经费项目</w:t>
      </w:r>
    </w:p>
    <w:p w14:paraId="4F0D17D3">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实施单位（公章）：托里县第二小学</w:t>
      </w:r>
    </w:p>
    <w:p w14:paraId="5DD27C49">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主管部门（公章）：托里县教育和科学技术局</w:t>
      </w:r>
    </w:p>
    <w:p w14:paraId="18CA0A47">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项目负责人（签章）：章书婧</w:t>
      </w:r>
    </w:p>
    <w:p w14:paraId="237BF4F9">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2024</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22</w:t>
      </w:r>
      <w:r>
        <w:rPr>
          <w:rFonts w:hint="default" w:ascii="Times New Roman" w:hAnsi="Times New Roman" w:eastAsia="仿宋_GB2312" w:cs="Times New Roman"/>
          <w:color w:val="auto"/>
          <w:kern w:val="0"/>
          <w:sz w:val="36"/>
          <w:szCs w:val="36"/>
          <w:highlight w:val="none"/>
        </w:rPr>
        <w:t>日</w:t>
      </w:r>
    </w:p>
    <w:p w14:paraId="3F2AB721">
      <w:pPr>
        <w:spacing w:line="540" w:lineRule="exact"/>
        <w:jc w:val="center"/>
        <w:rPr>
          <w:rFonts w:hint="default" w:ascii="Times New Roman" w:hAnsi="Times New Roman" w:eastAsia="仿宋_GB2312" w:cs="Times New Roman"/>
          <w:color w:val="auto"/>
          <w:kern w:val="0"/>
          <w:sz w:val="30"/>
          <w:szCs w:val="30"/>
          <w:highlight w:val="none"/>
        </w:rPr>
      </w:pPr>
    </w:p>
    <w:p w14:paraId="781E889D">
      <w:pPr>
        <w:spacing w:line="540" w:lineRule="exact"/>
        <w:rPr>
          <w:rStyle w:val="15"/>
          <w:rFonts w:hint="default" w:ascii="Times New Roman" w:hAnsi="Times New Roman" w:eastAsia="黑体" w:cs="Times New Roman"/>
          <w:b w:val="0"/>
          <w:color w:val="auto"/>
          <w:spacing w:val="-4"/>
          <w:sz w:val="32"/>
          <w:szCs w:val="32"/>
          <w:highlight w:val="none"/>
        </w:rPr>
      </w:pPr>
    </w:p>
    <w:p w14:paraId="56D80829">
      <w:pPr>
        <w:spacing w:line="560" w:lineRule="exact"/>
        <w:ind w:firstLine="640" w:firstLineChars="200"/>
        <w:rPr>
          <w:rFonts w:hint="default" w:ascii="Times New Roman" w:hAnsi="Times New Roman" w:eastAsia="黑体" w:cs="Times New Roman"/>
          <w:bCs/>
          <w:color w:val="auto"/>
          <w:sz w:val="32"/>
          <w:szCs w:val="32"/>
          <w:highlight w:val="none"/>
        </w:rPr>
      </w:pPr>
    </w:p>
    <w:p w14:paraId="0EB93B2A">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14:paraId="7243211E">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14:paraId="33414E55">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项目背景</w:t>
      </w:r>
    </w:p>
    <w:p w14:paraId="47535ED8">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（1）教育均衡发展需要</w:t>
      </w:r>
    </w:p>
    <w:p w14:paraId="08AE91D2">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随着我国经济的快速发展和社会进步，教育事业得到了长足的发展。然而，城乡之间的教育差距仍然存在，这成为制约我国教育整体发展的重要因素。为了缩小城乡教育差距，实现教育均衡发展，城乡义务教育保障机制补助项目应运而生。该项目通过提供经费补助，改善农村教育条件，提升农村教育质量，从而推动城乡教育均衡发展。</w:t>
      </w:r>
    </w:p>
    <w:p w14:paraId="4826860F">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（2）农村教育条件改善</w:t>
      </w:r>
    </w:p>
    <w:p w14:paraId="18701F6C">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农村教育条件长期以来相对滞后，师资力量不足、教学设施匮乏等问题制约了农村教育的发展。城乡义务教育保障机制补助项目的实施，为农村学校提供了必要的经费支持，用于改善教学设施、提升师资力量，从而整体提升农村教育条件，让农村孩子也能享受到优质的教育资源。</w:t>
      </w:r>
    </w:p>
    <w:p w14:paraId="3B5BE20B">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（3）教师工资保障机制</w:t>
      </w:r>
    </w:p>
    <w:p w14:paraId="1AC66567">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教师是推动教育事业发展的核心力量。然而，农村教师的工资待遇相对较低，影响了他们的教学积极性和职业发展。城乡义务教育保障机制补</w:t>
      </w:r>
      <w:bookmarkStart w:id="1" w:name="_GoBack"/>
      <w:bookmarkEnd w:id="1"/>
      <w:r>
        <w:rPr>
          <w:rFonts w:hint="eastAsia" w:ascii="Times New Roman" w:hAnsi="Times New Roman" w:eastAsia="仿宋_GB2312" w:cs="Times New Roman"/>
          <w:color w:val="auto"/>
          <w:sz w:val="32"/>
          <w:szCs w:val="32"/>
          <w:highlight w:val="none"/>
          <w:lang w:val="en-US" w:eastAsia="zh-CN"/>
        </w:rPr>
        <w:t>助项目通过提供经费支持，建立起了农村教师工资保障机制，确保农村教师能够享受到合理的工资待遇，稳定农村教师队伍，提高教师的教学积极性。</w:t>
      </w:r>
    </w:p>
    <w:p w14:paraId="7729057A">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（4）教育公平目标追求</w:t>
      </w:r>
    </w:p>
    <w:p w14:paraId="06D23CD9">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教育公平是社会公平的重要体现。城乡义务教育保障机制补助项目的实施，旨在通过提供经费补助，改善农村教育条件，提高农村教育质量，从而实现城乡教育公平。这不仅有助于缩小城乡教育差距，还有助于促进社会整体公平和谐发展。</w:t>
      </w:r>
    </w:p>
    <w:p w14:paraId="281828FC">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（5）农民教育负担减轻</w:t>
      </w:r>
    </w:p>
    <w:p w14:paraId="3403631D">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随着城乡义务教育保障机制补助项目的实施，农村教育条件得到改善，农村孩子接受优质教育的机会增加。同时，项目的实施也减轻了农民的教育负担，让他们不再因为经济原因而难以负担孩子的教育费用。这有助于提升农民的整体素质和生活水平，推动农村社会的全面发展。</w:t>
      </w:r>
    </w:p>
    <w:p w14:paraId="3FE1799F">
      <w:pPr>
        <w:spacing w:line="560" w:lineRule="exact"/>
        <w:ind w:firstLine="640" w:firstLineChars="200"/>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（6）全面建成小康社会建设</w:t>
      </w:r>
    </w:p>
    <w:p w14:paraId="0A9239EA">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教育是全面建成小康社会的重要支撑。城乡义务教育保障机制补助项目的实施，通过改善农村教育条件、提升农村教育质量、减轻农民教育负担等措施，为全面建成小康社会提供了有力的教育保障。这有助于提升农村人口的整体素质和生活水平，缩小城乡差距，推动全面建成小康社会的建设进程。</w:t>
      </w:r>
    </w:p>
    <w:p w14:paraId="6CE2D532">
      <w:pPr>
        <w:pStyle w:val="9"/>
        <w:numPr>
          <w:ilvl w:val="0"/>
          <w:numId w:val="0"/>
        </w:numPr>
        <w:spacing w:before="0" w:after="0" w:line="560" w:lineRule="exact"/>
        <w:ind w:firstLine="643" w:firstLineChars="200"/>
        <w:jc w:val="both"/>
        <w:rPr>
          <w:rFonts w:hint="default" w:ascii="Times New Roman" w:hAnsi="Times New Roman" w:eastAsia="仿宋_GB2312" w:cs="Times New Roman"/>
          <w:color w:val="auto"/>
          <w:kern w:val="2"/>
          <w:highlight w:val="none"/>
        </w:rPr>
      </w:pPr>
      <w:r>
        <w:rPr>
          <w:rFonts w:hint="default" w:ascii="Times New Roman" w:hAnsi="Times New Roman" w:eastAsia="仿宋_GB2312" w:cs="Times New Roman"/>
          <w:color w:val="auto"/>
          <w:kern w:val="2"/>
          <w:highlight w:val="none"/>
          <w:lang w:val="en-US" w:eastAsia="zh-CN"/>
        </w:rPr>
        <w:t>2.</w:t>
      </w:r>
      <w:r>
        <w:rPr>
          <w:rFonts w:hint="default" w:ascii="Times New Roman" w:hAnsi="Times New Roman" w:eastAsia="仿宋_GB2312" w:cs="Times New Roman"/>
          <w:color w:val="auto"/>
          <w:kern w:val="2"/>
          <w:highlight w:val="none"/>
        </w:rPr>
        <w:t>项目主要内容：</w:t>
      </w:r>
    </w:p>
    <w:p w14:paraId="225FC911">
      <w:pPr>
        <w:spacing w:line="560" w:lineRule="exact"/>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项目主要内容：</w:t>
      </w:r>
      <w:r>
        <w:rPr>
          <w:rFonts w:hint="eastAsia" w:ascii="Times New Roman" w:hAnsi="Times New Roman" w:eastAsia="仿宋_GB2312" w:cs="Times New Roman"/>
          <w:color w:val="auto"/>
          <w:sz w:val="32"/>
          <w:szCs w:val="32"/>
          <w:highlight w:val="none"/>
        </w:rPr>
        <w:t>城乡义务教育保障机制经费项目预算资金</w:t>
      </w:r>
      <w:r>
        <w:rPr>
          <w:rFonts w:hint="eastAsia" w:ascii="Times New Roman" w:hAnsi="Times New Roman" w:eastAsia="仿宋_GB2312" w:cs="Times New Roman"/>
          <w:color w:val="auto"/>
          <w:sz w:val="32"/>
          <w:szCs w:val="32"/>
          <w:highlight w:val="none"/>
          <w:lang w:val="en-US" w:eastAsia="zh-CN"/>
        </w:rPr>
        <w:t>204.99</w:t>
      </w:r>
      <w:r>
        <w:rPr>
          <w:rFonts w:hint="eastAsia" w:ascii="Times New Roman" w:hAnsi="Times New Roman" w:eastAsia="仿宋_GB2312" w:cs="Times New Roman"/>
          <w:color w:val="auto"/>
          <w:sz w:val="32"/>
          <w:szCs w:val="32"/>
          <w:highlight w:val="none"/>
        </w:rPr>
        <w:t>万元，</w:t>
      </w:r>
      <w:r>
        <w:rPr>
          <w:rFonts w:hint="eastAsia" w:ascii="Times New Roman" w:hAnsi="Times New Roman" w:eastAsia="仿宋_GB2312" w:cs="Times New Roman"/>
          <w:color w:val="auto"/>
          <w:sz w:val="32"/>
          <w:szCs w:val="32"/>
          <w:highlight w:val="none"/>
          <w:lang w:eastAsia="zh-CN"/>
        </w:rPr>
        <w:t>用于</w:t>
      </w:r>
      <w:r>
        <w:rPr>
          <w:rFonts w:hint="eastAsia" w:ascii="Times New Roman" w:hAnsi="Times New Roman" w:eastAsia="仿宋_GB2312" w:cs="Times New Roman"/>
          <w:color w:val="auto"/>
          <w:sz w:val="32"/>
          <w:szCs w:val="32"/>
          <w:highlight w:val="none"/>
        </w:rPr>
        <w:t>购置相应的教学资料等，及时完成我校设备及房屋的日常维修</w:t>
      </w:r>
    </w:p>
    <w:p w14:paraId="24A2A5A1">
      <w:pPr>
        <w:spacing w:line="560" w:lineRule="exact"/>
        <w:ind w:firstLine="640" w:firstLineChars="200"/>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项目实施情况：该项目有效的保障学校的正常办公、生活秩序，保障义务教育学生的正常入学，以及教师的正常办公；不断提高和改善学校正常运转能力和办学条件。</w:t>
      </w:r>
    </w:p>
    <w:p w14:paraId="29159B20">
      <w:pPr>
        <w:spacing w:line="560" w:lineRule="exact"/>
        <w:ind w:firstLine="643" w:firstLineChars="200"/>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bCs/>
          <w:color w:val="auto"/>
          <w:sz w:val="32"/>
          <w:szCs w:val="32"/>
          <w:highlight w:val="none"/>
        </w:rPr>
        <w:t>资金投入和使用情况</w:t>
      </w:r>
    </w:p>
    <w:p w14:paraId="020AA96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（1）资金投入情况</w:t>
      </w:r>
    </w:p>
    <w:p w14:paraId="6FB53ED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217.64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204.99</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财政拨款资金</w:t>
      </w:r>
      <w:r>
        <w:rPr>
          <w:rFonts w:hint="default" w:ascii="Times New Roman" w:hAnsi="Times New Roman" w:eastAsia="仿宋_GB2312" w:cs="Times New Roman"/>
          <w:color w:val="auto"/>
          <w:sz w:val="32"/>
          <w:szCs w:val="32"/>
          <w:highlight w:val="none"/>
          <w:lang w:val="en-US" w:eastAsia="zh-CN"/>
        </w:rPr>
        <w:t>。</w:t>
      </w:r>
    </w:p>
    <w:p w14:paraId="0618238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（2）资金使用情况</w:t>
      </w:r>
    </w:p>
    <w:p w14:paraId="3AB9170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该项目年初预算数</w:t>
      </w:r>
      <w:r>
        <w:rPr>
          <w:rFonts w:hint="eastAsia" w:eastAsia="仿宋_GB2312" w:cs="Times New Roman"/>
          <w:color w:val="auto"/>
          <w:sz w:val="32"/>
          <w:szCs w:val="32"/>
          <w:highlight w:val="none"/>
          <w:lang w:val="en-US" w:eastAsia="zh-CN"/>
        </w:rPr>
        <w:t>217.64</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204.99</w:t>
      </w:r>
      <w:r>
        <w:rPr>
          <w:rFonts w:hint="default" w:ascii="Times New Roman" w:hAnsi="Times New Roman" w:eastAsia="仿宋_GB2312" w:cs="Times New Roman"/>
          <w:color w:val="auto"/>
          <w:sz w:val="32"/>
          <w:szCs w:val="32"/>
          <w:highlight w:val="none"/>
          <w:lang w:val="en-US" w:eastAsia="zh-CN"/>
        </w:rPr>
        <w:t>万元</w:t>
      </w:r>
      <w:r>
        <w:rPr>
          <w:rFonts w:hint="eastAsia" w:ascii="Times New Roman" w:hAnsi="Times New Roman"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，全年执行数</w:t>
      </w:r>
      <w:r>
        <w:rPr>
          <w:rFonts w:hint="eastAsia" w:eastAsia="仿宋_GB2312" w:cs="Times New Roman"/>
          <w:color w:val="auto"/>
          <w:sz w:val="32"/>
          <w:szCs w:val="32"/>
          <w:highlight w:val="none"/>
          <w:lang w:val="en-US" w:eastAsia="zh-CN"/>
        </w:rPr>
        <w:t>192.75</w:t>
      </w:r>
      <w:r>
        <w:rPr>
          <w:rFonts w:hint="default" w:ascii="Times New Roman" w:hAnsi="Times New Roman" w:eastAsia="仿宋_GB2312" w:cs="Times New Roman"/>
          <w:color w:val="auto"/>
          <w:sz w:val="32"/>
          <w:szCs w:val="32"/>
          <w:highlight w:val="none"/>
          <w:lang w:val="en-US" w:eastAsia="zh-CN"/>
        </w:rPr>
        <w:t>万元，预算执行率为94.03%，主要用于：购置相应的教学资料等，及时完成我校设备及房屋的日常维修；该项目有效的保障学校的正常办公、生活秩序，保障义务教育学生的正常入学，以及教师的正常办公；不断提高和改善学校正常运转能力和办学条件。</w:t>
      </w:r>
    </w:p>
    <w:p w14:paraId="59875B92">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（二）项目绩效目标</w:t>
      </w:r>
    </w:p>
    <w:p w14:paraId="0B988698">
      <w:pPr>
        <w:spacing w:line="560" w:lineRule="exact"/>
        <w:ind w:firstLine="640" w:firstLineChars="200"/>
        <w:rPr>
          <w:rFonts w:hint="default" w:ascii="Times New Roman" w:hAnsi="Times New Roman" w:eastAsia="黑体" w:cs="Times New Roman"/>
          <w:b w:val="0"/>
          <w:bCs/>
          <w:color w:val="auto"/>
          <w:highlight w:val="none"/>
          <w:lang w:eastAsia="zh-CN"/>
        </w:rPr>
      </w:pPr>
      <w:r>
        <w:rPr>
          <w:rFonts w:hint="default" w:ascii="Times New Roman" w:hAnsi="Times New Roman" w:eastAsia="仿宋_GB2312" w:cs="Times New Roman"/>
          <w:color w:val="auto"/>
          <w:sz w:val="32"/>
          <w:szCs w:val="32"/>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总体目标</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0"/>
          <w:szCs w:val="30"/>
          <w:highlight w:val="none"/>
          <w:lang w:val="en-US" w:eastAsia="zh-CN"/>
        </w:rPr>
        <w:t>2024年城乡义务教育保障机制项目资金204.998543万元，用于公用经费补助义务教育1563人，寄宿生58人，非寄宿生516人。不断提高和改善学校正常运转能力和办学条件；进一步改善寄宿生营养状况，提高寄宿生健康水平，不断提高学生体质健康，强化学生身心健康，有效减轻学生家庭经济负担，不断提高学生体质，家长和学生的满意度95%。</w:t>
      </w:r>
    </w:p>
    <w:p w14:paraId="61F5BE28">
      <w:pPr>
        <w:spacing w:line="560" w:lineRule="exact"/>
        <w:ind w:firstLine="640" w:firstLineChars="200"/>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阶段性目标</w:t>
      </w:r>
      <w:r>
        <w:rPr>
          <w:rFonts w:hint="eastAsia" w:eastAsia="仿宋_GB2312" w:cs="Times New Roman"/>
          <w:color w:val="auto"/>
          <w:sz w:val="32"/>
          <w:szCs w:val="32"/>
          <w:highlight w:val="none"/>
          <w:lang w:eastAsia="zh-CN"/>
        </w:rPr>
        <w:t>：</w:t>
      </w:r>
    </w:p>
    <w:p w14:paraId="7AEFC60D">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前期：完成对农村</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教育资源的全面普查，详细掌握现有</w:t>
      </w:r>
      <w:r>
        <w:rPr>
          <w:rFonts w:hint="eastAsia" w:eastAsia="仿宋_GB2312" w:cs="Times New Roman"/>
          <w:sz w:val="32"/>
          <w:szCs w:val="32"/>
          <w:lang w:val="en-US" w:eastAsia="zh-CN"/>
        </w:rPr>
        <w:t>初中</w:t>
      </w:r>
      <w:r>
        <w:rPr>
          <w:rFonts w:hint="default" w:ascii="Times New Roman" w:hAnsi="Times New Roman" w:eastAsia="仿宋_GB2312" w:cs="Times New Roman"/>
          <w:sz w:val="32"/>
          <w:szCs w:val="32"/>
        </w:rPr>
        <w:t>学生数量、师资配备、设施条件以及适龄</w:t>
      </w:r>
      <w:r>
        <w:rPr>
          <w:rFonts w:hint="eastAsia" w:eastAsia="仿宋_GB2312" w:cs="Times New Roman"/>
          <w:sz w:val="32"/>
          <w:szCs w:val="32"/>
          <w:lang w:val="en-US" w:eastAsia="zh-CN"/>
        </w:rPr>
        <w:t>学生</w:t>
      </w:r>
      <w:r>
        <w:rPr>
          <w:rFonts w:hint="default" w:ascii="Times New Roman" w:hAnsi="Times New Roman" w:eastAsia="仿宋_GB2312" w:cs="Times New Roman"/>
          <w:sz w:val="32"/>
          <w:szCs w:val="32"/>
        </w:rPr>
        <w:t>数量等信息，建立动态数据库。同时，按照国家标准，制定农村</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教育机构的建设和改造计划，确保场地安全、功能齐全，满足</w:t>
      </w:r>
      <w:r>
        <w:rPr>
          <w:rFonts w:hint="eastAsia" w:eastAsia="仿宋_GB2312" w:cs="Times New Roman"/>
          <w:sz w:val="32"/>
          <w:szCs w:val="32"/>
          <w:lang w:val="en-US" w:eastAsia="zh-CN"/>
        </w:rPr>
        <w:t>学生</w:t>
      </w:r>
      <w:r>
        <w:rPr>
          <w:rFonts w:hint="default" w:ascii="Times New Roman" w:hAnsi="Times New Roman" w:eastAsia="仿宋_GB2312" w:cs="Times New Roman"/>
          <w:sz w:val="32"/>
          <w:szCs w:val="32"/>
        </w:rPr>
        <w:t>学习和生活需求。此外，设立专项经费，用于教师招聘和培训，提升教师专业素养，保证</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教育教学质量。</w:t>
      </w:r>
    </w:p>
    <w:p w14:paraId="1C94612B">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中期目标：在完成前期建设和准备工作的基础上，全面实施农村</w:t>
      </w:r>
      <w:r>
        <w:rPr>
          <w:rFonts w:hint="eastAsia" w:eastAsia="仿宋_GB2312" w:cs="Times New Roman"/>
          <w:sz w:val="32"/>
          <w:szCs w:val="32"/>
          <w:lang w:val="en-US" w:eastAsia="zh-CN"/>
        </w:rPr>
        <w:t>义务教育九</w:t>
      </w:r>
      <w:r>
        <w:rPr>
          <w:rFonts w:hint="default" w:ascii="Times New Roman" w:hAnsi="Times New Roman" w:eastAsia="仿宋_GB2312" w:cs="Times New Roman"/>
          <w:sz w:val="32"/>
          <w:szCs w:val="32"/>
        </w:rPr>
        <w:t>年免费教育，确保每一名适龄</w:t>
      </w:r>
      <w:r>
        <w:rPr>
          <w:rFonts w:hint="eastAsia" w:eastAsia="仿宋_GB2312" w:cs="Times New Roman"/>
          <w:sz w:val="32"/>
          <w:szCs w:val="32"/>
          <w:lang w:val="en-US" w:eastAsia="zh-CN"/>
        </w:rPr>
        <w:t>义务教育阶段学生</w:t>
      </w:r>
      <w:r>
        <w:rPr>
          <w:rFonts w:hint="default" w:ascii="Times New Roman" w:hAnsi="Times New Roman" w:eastAsia="仿宋_GB2312" w:cs="Times New Roman"/>
          <w:sz w:val="32"/>
          <w:szCs w:val="32"/>
        </w:rPr>
        <w:t>都能享受免费教育服务。加大宣传力度，提高政策知晓率，鼓励家长积极送孩子入</w:t>
      </w:r>
      <w:r>
        <w:rPr>
          <w:rFonts w:hint="eastAsia" w:eastAsia="仿宋_GB2312" w:cs="Times New Roman"/>
          <w:sz w:val="32"/>
          <w:szCs w:val="32"/>
          <w:lang w:val="en-US" w:eastAsia="zh-CN"/>
        </w:rPr>
        <w:t>校</w:t>
      </w:r>
      <w:r>
        <w:rPr>
          <w:rFonts w:hint="default" w:ascii="Times New Roman" w:hAnsi="Times New Roman" w:eastAsia="仿宋_GB2312" w:cs="Times New Roman"/>
          <w:sz w:val="32"/>
          <w:szCs w:val="32"/>
        </w:rPr>
        <w:t>。建立健全</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教育质量评估体系，定期对</w:t>
      </w:r>
      <w:r>
        <w:rPr>
          <w:rFonts w:hint="eastAsia" w:eastAsia="仿宋_GB2312" w:cs="Times New Roman"/>
          <w:sz w:val="32"/>
          <w:szCs w:val="32"/>
          <w:lang w:val="en-US" w:eastAsia="zh-CN"/>
        </w:rPr>
        <w:t>学生</w:t>
      </w:r>
      <w:r>
        <w:rPr>
          <w:rFonts w:hint="default" w:ascii="Times New Roman" w:hAnsi="Times New Roman" w:eastAsia="仿宋_GB2312" w:cs="Times New Roman"/>
          <w:sz w:val="32"/>
          <w:szCs w:val="32"/>
        </w:rPr>
        <w:t>进行评估和指导，推动</w:t>
      </w:r>
      <w:r>
        <w:rPr>
          <w:rFonts w:hint="eastAsia" w:eastAsia="仿宋_GB2312" w:cs="Times New Roman"/>
          <w:sz w:val="32"/>
          <w:szCs w:val="32"/>
          <w:lang w:val="en-US" w:eastAsia="zh-CN"/>
        </w:rPr>
        <w:t>学校</w:t>
      </w:r>
      <w:r>
        <w:rPr>
          <w:rFonts w:hint="default" w:ascii="Times New Roman" w:hAnsi="Times New Roman" w:eastAsia="仿宋_GB2312" w:cs="Times New Roman"/>
          <w:sz w:val="32"/>
          <w:szCs w:val="32"/>
        </w:rPr>
        <w:t>不断改进教学方法和管理模式，提高教育质量。</w:t>
      </w:r>
    </w:p>
    <w:p w14:paraId="1B256993">
      <w:pPr>
        <w:spacing w:line="560" w:lineRule="exact"/>
        <w:ind w:firstLine="640" w:firstLineChars="200"/>
        <w:rPr>
          <w:rFonts w:hint="default" w:ascii="Times New Roman" w:hAnsi="Times New Roman" w:eastAsia="黑体" w:cs="Times New Roman"/>
          <w:b w:val="0"/>
          <w:bCs/>
          <w:lang w:eastAsia="zh-CN"/>
        </w:rPr>
      </w:pPr>
      <w:r>
        <w:rPr>
          <w:rFonts w:hint="default" w:ascii="Times New Roman" w:hAnsi="Times New Roman" w:eastAsia="仿宋_GB2312" w:cs="Times New Roman"/>
          <w:sz w:val="32"/>
          <w:szCs w:val="32"/>
        </w:rPr>
        <w:t>长期目标：持续优化农村</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教育资源配置，根据人口变化和城镇化发展趋势，动态调整布局，确保教育资源均衡分布。不断完善教育教学体系，加强课程研发和创新，引入先进教育理念和方法，促进</w:t>
      </w:r>
      <w:r>
        <w:rPr>
          <w:rFonts w:hint="eastAsia" w:eastAsia="仿宋_GB2312" w:cs="Times New Roman"/>
          <w:sz w:val="32"/>
          <w:szCs w:val="32"/>
          <w:lang w:val="en-US" w:eastAsia="zh-CN"/>
        </w:rPr>
        <w:t>学生</w:t>
      </w:r>
      <w:r>
        <w:rPr>
          <w:rFonts w:hint="default" w:ascii="Times New Roman" w:hAnsi="Times New Roman" w:eastAsia="仿宋_GB2312" w:cs="Times New Roman"/>
          <w:sz w:val="32"/>
          <w:szCs w:val="32"/>
        </w:rPr>
        <w:t>全面发展。加大教师队伍建设投入，提高教师待遇，吸引和留住优秀人才，打造一支高素质、专业化的教育师资队伍，形成可持续发展的农村</w:t>
      </w:r>
      <w:r>
        <w:rPr>
          <w:rFonts w:hint="eastAsia" w:eastAsia="仿宋_GB2312" w:cs="Times New Roman"/>
          <w:sz w:val="32"/>
          <w:szCs w:val="32"/>
          <w:lang w:val="en-US" w:eastAsia="zh-CN"/>
        </w:rPr>
        <w:t>义务</w:t>
      </w:r>
      <w:r>
        <w:rPr>
          <w:rFonts w:hint="default" w:ascii="Times New Roman" w:hAnsi="Times New Roman" w:eastAsia="仿宋_GB2312" w:cs="Times New Roman"/>
          <w:sz w:val="32"/>
          <w:szCs w:val="32"/>
        </w:rPr>
        <w:t>教育长效机制</w:t>
      </w:r>
      <w:r>
        <w:rPr>
          <w:rFonts w:hint="eastAsia" w:eastAsia="仿宋_GB2312" w:cs="Times New Roman"/>
          <w:color w:val="auto"/>
          <w:sz w:val="30"/>
          <w:szCs w:val="30"/>
          <w:highlight w:val="none"/>
          <w:lang w:val="en-US" w:eastAsia="zh-CN"/>
        </w:rPr>
        <w:t>。</w:t>
      </w:r>
    </w:p>
    <w:p w14:paraId="672C70C3">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14:paraId="4BEBCACB">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（一）绩效评价目的、对象和范围</w:t>
      </w:r>
    </w:p>
    <w:p w14:paraId="5567E86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val="en-US" w:eastAsia="zh-CN"/>
        </w:rPr>
      </w:pPr>
      <w:r>
        <w:rPr>
          <w:rFonts w:hint="default" w:ascii="Times New Roman" w:hAnsi="Times New Roman" w:eastAsia="仿宋_GB2312" w:cs="Times New Roman"/>
          <w:b w:val="0"/>
          <w:bCs w:val="0"/>
          <w:color w:val="auto"/>
          <w:highlight w:val="none"/>
          <w:lang w:val="en-US" w:eastAsia="zh-CN"/>
        </w:rPr>
        <w:t>1.绩效评价完整性</w:t>
      </w:r>
    </w:p>
    <w:p w14:paraId="164429D2">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14:paraId="6463187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14:paraId="2D79B4D6">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14:paraId="49ECE63B">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14:paraId="67F6DB94">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14:paraId="5C96EC79">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绩效评价的目的</w:t>
      </w:r>
    </w:p>
    <w:p w14:paraId="61E3CD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（1）评估项目实施效果</w:t>
      </w:r>
    </w:p>
    <w:p w14:paraId="71DD60D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通过对项目预算执行情况及各项绩效目标达成程度的系统性分析，全面、客观地评估项目在预定周期内的实施效果，包括社会效益维度指标，为项目后续的改进与优化提供科学依据。</w:t>
      </w:r>
    </w:p>
    <w:p w14:paraId="786262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（2）提升资源利用效率</w:t>
      </w:r>
    </w:p>
    <w:p w14:paraId="096B318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14:paraId="1F19E8D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（3）强化项目管理责任</w:t>
      </w:r>
    </w:p>
    <w:p w14:paraId="48BF0C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14:paraId="756B0C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（4）为决策提供支持</w:t>
      </w:r>
    </w:p>
    <w:p w14:paraId="5E2948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6956D14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（5）促进项目持续改进</w:t>
      </w:r>
    </w:p>
    <w:p w14:paraId="4C56541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03C699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2D661AB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3</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绩效评价的对象</w:t>
      </w:r>
    </w:p>
    <w:p w14:paraId="10F320AB">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本项目预算绩效评价报告的评价对象是乡义务教育保障机制经费</w:t>
      </w:r>
      <w:r>
        <w:rPr>
          <w:rFonts w:hint="eastAsia" w:ascii="Times New Roman" w:hAnsi="Times New Roman" w:eastAsia="仿宋_GB2312" w:cs="Times New Roman"/>
          <w:b w:val="0"/>
          <w:bCs w:val="0"/>
          <w:color w:val="auto"/>
          <w:highlight w:val="none"/>
          <w:lang w:eastAsia="zh-CN"/>
        </w:rPr>
        <w:t>项目</w:t>
      </w:r>
      <w:r>
        <w:rPr>
          <w:rFonts w:hint="default" w:ascii="Times New Roman" w:hAnsi="Times New Roman" w:eastAsia="仿宋_GB2312" w:cs="Times New Roman"/>
          <w:b w:val="0"/>
          <w:bCs w:val="0"/>
          <w:color w:val="auto"/>
          <w:highlight w:val="none"/>
        </w:rPr>
        <w:t>及其预算执行情况。该项目由</w:t>
      </w:r>
      <w:r>
        <w:rPr>
          <w:rFonts w:hint="eastAsia" w:ascii="Times New Roman" w:hAnsi="Times New Roman" w:eastAsia="仿宋_GB2312" w:cs="Times New Roman"/>
          <w:b w:val="0"/>
          <w:bCs w:val="0"/>
          <w:color w:val="auto"/>
          <w:highlight w:val="none"/>
          <w:lang w:eastAsia="zh-CN"/>
        </w:rPr>
        <w:t>托里县第二小学</w:t>
      </w:r>
      <w:r>
        <w:rPr>
          <w:rFonts w:hint="default" w:ascii="Times New Roman" w:hAnsi="Times New Roman" w:eastAsia="仿宋_GB2312" w:cs="Times New Roman"/>
          <w:b w:val="0"/>
          <w:bCs w:val="0"/>
          <w:color w:val="auto"/>
          <w:highlight w:val="none"/>
        </w:rPr>
        <w:t>负责实施，旨在不断提高和改善学校正常运转能力和办学条件；进一步改善寄宿生营养状况，提高寄宿生健康水平，不断提高学生体质健康，强化学生身心健康，有效减轻学生家庭经济负担，不断提高学生体质，家长和学生的满意度95%。项目预算涵盖从[</w:t>
      </w:r>
      <w:r>
        <w:rPr>
          <w:rFonts w:hint="eastAsia" w:ascii="Times New Roman" w:hAnsi="Times New Roman" w:eastAsia="仿宋_GB2312" w:cs="Times New Roman"/>
          <w:b w:val="0"/>
          <w:bCs w:val="0"/>
          <w:color w:val="auto"/>
          <w:highlight w:val="none"/>
          <w:lang w:val="en-US" w:eastAsia="zh-CN"/>
        </w:rPr>
        <w:t>2024年1月1日</w:t>
      </w:r>
      <w:r>
        <w:rPr>
          <w:rFonts w:hint="default" w:ascii="Times New Roman" w:hAnsi="Times New Roman" w:eastAsia="仿宋_GB2312" w:cs="Times New Roman"/>
          <w:b w:val="0"/>
          <w:bCs w:val="0"/>
          <w:color w:val="auto"/>
          <w:highlight w:val="none"/>
        </w:rPr>
        <w:t>]至[</w:t>
      </w:r>
      <w:r>
        <w:rPr>
          <w:rFonts w:hint="eastAsia" w:ascii="Times New Roman" w:hAnsi="Times New Roman" w:eastAsia="仿宋_GB2312" w:cs="Times New Roman"/>
          <w:b w:val="0"/>
          <w:bCs w:val="0"/>
          <w:color w:val="auto"/>
          <w:highlight w:val="none"/>
          <w:lang w:val="en-US" w:eastAsia="zh-CN"/>
        </w:rPr>
        <w:t>2024年12月31日</w:t>
      </w:r>
      <w:r>
        <w:rPr>
          <w:rFonts w:hint="default" w:ascii="Times New Roman" w:hAnsi="Times New Roman" w:eastAsia="仿宋_GB2312" w:cs="Times New Roman"/>
          <w:b w:val="0"/>
          <w:bCs w:val="0"/>
          <w:color w:val="auto"/>
          <w:highlight w:val="none"/>
        </w:rPr>
        <w:t>]的全部资金投入与支出，涉及资金总额为204.998543</w:t>
      </w:r>
      <w:r>
        <w:rPr>
          <w:rFonts w:hint="default" w:ascii="Times New Roman" w:hAnsi="Times New Roman" w:eastAsia="仿宋_GB2312" w:cs="Times New Roman"/>
          <w:b w:val="0"/>
          <w:bCs w:val="0"/>
          <w:color w:val="auto"/>
          <w:highlight w:val="none"/>
          <w:lang w:val="en-US" w:eastAsia="zh-CN"/>
        </w:rPr>
        <w:t>万</w:t>
      </w:r>
      <w:r>
        <w:rPr>
          <w:rFonts w:hint="default" w:ascii="Times New Roman" w:hAnsi="Times New Roman" w:eastAsia="仿宋_GB2312" w:cs="Times New Roman"/>
          <w:b w:val="0"/>
          <w:bCs w:val="0"/>
          <w:color w:val="auto"/>
          <w:highlight w:val="none"/>
        </w:rPr>
        <w:t>元。</w:t>
      </w:r>
    </w:p>
    <w:p w14:paraId="5F3AB7CE">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val="en-US" w:eastAsia="zh-CN"/>
        </w:rPr>
        <w:t>4.</w:t>
      </w:r>
      <w:r>
        <w:rPr>
          <w:rFonts w:hint="default" w:ascii="Times New Roman" w:hAnsi="Times New Roman" w:eastAsia="仿宋_GB2312" w:cs="Times New Roman"/>
          <w:b w:val="0"/>
          <w:bCs w:val="0"/>
          <w:color w:val="auto"/>
          <w:highlight w:val="none"/>
        </w:rPr>
        <w:t>绩效评价的范围</w:t>
      </w:r>
    </w:p>
    <w:p w14:paraId="46250D44">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本项目预算绩效评价报告的评价范围广泛而全面，涵盖了从项目立项至评价时点期间的所有关键预算活动和财务流程。具体而言，评价范围包括但不限于以下几个方面：</w:t>
      </w:r>
    </w:p>
    <w:p w14:paraId="42C3F59E">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项目预算编制与执行：全面审视项目预算的编制依据、合理性、科学性以及实际执行情况，包括预算调整的原因和效果。</w:t>
      </w:r>
    </w:p>
    <w:p w14:paraId="504A59AC">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资金管理：深入分析项目资金的分配、使用和监管情况，确保资金使用的合规性、高效性和透明度。</w:t>
      </w:r>
    </w:p>
    <w:p w14:paraId="4F0C0B49">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项目实施进度与产出：评估项目是否按照既定计划顺利推进，各项任务是否按时完成，以及项目产出的数量、质量和时效性是否符合预期。</w:t>
      </w:r>
    </w:p>
    <w:p w14:paraId="1F41457B">
      <w:pPr>
        <w:pStyle w:val="9"/>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社会</w:t>
      </w:r>
      <w:r>
        <w:rPr>
          <w:rFonts w:hint="default"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生态</w:t>
      </w:r>
      <w:r>
        <w:rPr>
          <w:rFonts w:hint="default" w:ascii="Times New Roman" w:hAnsi="Times New Roman" w:eastAsia="仿宋_GB2312" w:cs="Times New Roman"/>
          <w:b w:val="0"/>
          <w:bCs w:val="0"/>
          <w:color w:val="auto"/>
          <w:highlight w:val="none"/>
          <w:lang w:val="en-US" w:eastAsia="zh-CN"/>
        </w:rPr>
        <w:t>等</w:t>
      </w:r>
      <w:r>
        <w:rPr>
          <w:rFonts w:hint="default" w:ascii="Times New Roman" w:hAnsi="Times New Roman" w:eastAsia="仿宋_GB2312" w:cs="Times New Roman"/>
          <w:b w:val="0"/>
          <w:bCs w:val="0"/>
          <w:color w:val="auto"/>
          <w:highlight w:val="none"/>
        </w:rPr>
        <w:t>影响：考察项目对社会等方面的综合影响。</w:t>
      </w:r>
    </w:p>
    <w:p w14:paraId="0A100A7C">
      <w:pPr>
        <w:spacing w:line="560" w:lineRule="exact"/>
        <w:ind w:firstLine="643" w:firstLineChars="200"/>
        <w:rPr>
          <w:rFonts w:hint="default" w:ascii="Times New Roman" w:hAnsi="Times New Roman" w:cs="Times New Roman"/>
          <w:color w:val="auto"/>
          <w:highlight w:val="none"/>
        </w:rPr>
      </w:pPr>
      <w:r>
        <w:rPr>
          <w:rFonts w:hint="default" w:ascii="Times New Roman" w:hAnsi="Times New Roman" w:eastAsia="楷体_GB2312" w:cs="Times New Roman"/>
          <w:b/>
          <w:bCs/>
          <w:color w:val="auto"/>
          <w:sz w:val="32"/>
          <w:szCs w:val="32"/>
          <w:highlight w:val="none"/>
        </w:rPr>
        <w:t>（二）绩效评价原则、评价指标体系（详情见表1）、评价方法、评价标准。</w:t>
      </w:r>
    </w:p>
    <w:p w14:paraId="42659101">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绩效评价原则</w:t>
      </w:r>
    </w:p>
    <w:p w14:paraId="4F339D60">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本次项目绩效评价遵循以下基本原则：</w:t>
      </w:r>
    </w:p>
    <w:p w14:paraId="69881885">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（1）科学公正。绩效评价应当运用科学合理的方法，按照规范的程序，对项目绩效进行客观、公正的反映。</w:t>
      </w:r>
    </w:p>
    <w:p w14:paraId="6DB7E9F5">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14:paraId="33595CD3">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（3）激励约束。绩效评价结果应与预算安排、政策调整、改进管理实质性挂钩，体现奖优罚劣和激励相容导向，有效要安排、低效要压减、无效要问责。</w:t>
      </w:r>
    </w:p>
    <w:p w14:paraId="4A82EBEC">
      <w:pPr>
        <w:pStyle w:val="9"/>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（4）公开透明。绩效评价结果应依法依规公开，并自觉接受社会监督。</w:t>
      </w:r>
    </w:p>
    <w:p w14:paraId="74359DFC">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2</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评价指标体系</w:t>
      </w:r>
    </w:p>
    <w:p w14:paraId="69177DE7">
      <w:pPr>
        <w:spacing w:line="560" w:lineRule="exact"/>
        <w:ind w:firstLine="708" w:firstLineChars="200"/>
        <w:rPr>
          <w:rFonts w:hint="default" w:ascii="Times New Roman" w:hAnsi="Times New Roman"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绩效评价框架是开展绩效评价的核心。绩效评价框架包括评价准则、关键评价问题、评价指标、数据来源、数据收集方法等。指标体系建立过程如下：</w:t>
      </w:r>
    </w:p>
    <w:p w14:paraId="357EB565">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（1）确定评价指标</w:t>
      </w:r>
    </w:p>
    <w:p w14:paraId="283CB0D3">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6AB4B84E">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（2）确定权重</w:t>
      </w:r>
    </w:p>
    <w:p w14:paraId="5B8D02FB">
      <w:pPr>
        <w:spacing w:line="560" w:lineRule="exact"/>
        <w:ind w:firstLine="708" w:firstLineChars="200"/>
        <w:rPr>
          <w:rFonts w:hint="default" w:ascii="Times New Roman" w:hAnsi="Times New Roman" w:eastAsia="仿宋_GB2312" w:cs="Times New Roman"/>
          <w:color w:val="auto"/>
          <w:spacing w:val="17"/>
          <w:sz w:val="32"/>
          <w:szCs w:val="32"/>
          <w:highlight w:val="none"/>
          <w:lang w:eastAsia="zh-CN"/>
        </w:rPr>
      </w:pPr>
      <w:r>
        <w:rPr>
          <w:rFonts w:hint="default" w:ascii="Times New Roman" w:hAnsi="Times New Roman" w:eastAsia="仿宋_GB2312" w:cs="Times New Roman"/>
          <w:color w:val="auto"/>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2BC7D26C">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（3）确定指标标准值</w:t>
      </w:r>
    </w:p>
    <w:p w14:paraId="348E9E7B">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14:paraId="5BE445D5">
      <w:pPr>
        <w:pStyle w:val="9"/>
        <w:spacing w:before="0" w:after="0" w:line="560" w:lineRule="exact"/>
        <w:ind w:firstLine="708" w:firstLineChars="200"/>
        <w:jc w:val="both"/>
        <w:rPr>
          <w:rFonts w:hint="default" w:ascii="Times New Roman" w:hAnsi="Times New Roman" w:eastAsia="仿宋_GB2312" w:cs="Times New Roman"/>
          <w:b w:val="0"/>
          <w:bCs w:val="0"/>
          <w:color w:val="auto"/>
          <w:spacing w:val="17"/>
          <w:kern w:val="2"/>
          <w:highlight w:val="none"/>
        </w:rPr>
      </w:pPr>
      <w:r>
        <w:rPr>
          <w:rFonts w:hint="default" w:ascii="Times New Roman" w:hAnsi="Times New Roman" w:eastAsia="仿宋_GB2312" w:cs="Times New Roman"/>
          <w:b w:val="0"/>
          <w:bCs w:val="0"/>
          <w:color w:val="auto"/>
          <w:spacing w:val="17"/>
          <w:kern w:val="2"/>
          <w:highlight w:val="none"/>
        </w:rPr>
        <w:t>绩效评价总分值100分，根据综合评分结果，90（含）-100分为优、80（含）-90分为良、60（含）-80分为中、60分以下为差。</w:t>
      </w:r>
    </w:p>
    <w:p w14:paraId="53EC8588">
      <w:pPr>
        <w:pStyle w:val="9"/>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auto"/>
          <w:spacing w:val="17"/>
          <w:highlight w:val="none"/>
        </w:rPr>
      </w:pPr>
      <w:r>
        <w:rPr>
          <w:rFonts w:hint="default" w:ascii="Times New Roman" w:hAnsi="Times New Roman" w:eastAsia="仿宋_GB2312" w:cs="Times New Roman"/>
          <w:b w:val="0"/>
          <w:bCs w:val="0"/>
          <w:color w:val="auto"/>
          <w:spacing w:val="17"/>
          <w:highlight w:val="none"/>
        </w:rPr>
        <w:t>具体评价指标体系详情见附件1</w:t>
      </w:r>
    </w:p>
    <w:p w14:paraId="06D7F0D6">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3</w:t>
      </w:r>
      <w:r>
        <w:rPr>
          <w:rFonts w:hint="default"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rPr>
        <w:t>绩效评价方法</w:t>
      </w:r>
    </w:p>
    <w:p w14:paraId="6818B38D">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2673F526">
      <w:pPr>
        <w:spacing w:line="560" w:lineRule="exact"/>
        <w:ind w:firstLine="708" w:firstLineChars="200"/>
        <w:rPr>
          <w:rFonts w:hint="default" w:ascii="Times New Roman" w:hAnsi="Times New Roman" w:eastAsia="仿宋_GB2312" w:cs="Times New Roman"/>
          <w:color w:val="auto"/>
          <w:spacing w:val="17"/>
          <w:sz w:val="32"/>
          <w:szCs w:val="32"/>
          <w:highlight w:val="none"/>
          <w:shd w:val="clear" w:color="auto" w:fill="auto"/>
        </w:rPr>
      </w:pPr>
      <w:r>
        <w:rPr>
          <w:rFonts w:hint="default" w:ascii="Times New Roman" w:hAnsi="Times New Roman" w:eastAsia="仿宋_GB2312" w:cs="Times New Roman"/>
          <w:color w:val="auto"/>
          <w:spacing w:val="17"/>
          <w:sz w:val="32"/>
          <w:szCs w:val="32"/>
          <w:highlight w:val="none"/>
          <w:shd w:val="clear" w:color="auto" w:fill="auto"/>
        </w:rPr>
        <w:t>本次评价指标中，既有定性指标又有定量指标，各类指标因考核内容不同和客观标准不同存在较大差异，因此核定具体指标时采用了不同方法，具体评价方法如下：</w:t>
      </w:r>
    </w:p>
    <w:p w14:paraId="781863DF">
      <w:pPr>
        <w:spacing w:line="560" w:lineRule="exact"/>
        <w:ind w:firstLine="708" w:firstLineChars="200"/>
        <w:rPr>
          <w:rFonts w:eastAsia="仿宋_GB2312"/>
          <w:color w:val="auto"/>
          <w:spacing w:val="17"/>
          <w:sz w:val="32"/>
          <w:szCs w:val="32"/>
          <w:highlight w:val="none"/>
        </w:rPr>
      </w:pPr>
      <w:r>
        <w:rPr>
          <w:rFonts w:eastAsia="仿宋_GB2312"/>
          <w:color w:val="auto"/>
          <w:spacing w:val="17"/>
          <w:sz w:val="32"/>
          <w:szCs w:val="32"/>
          <w:highlight w:val="none"/>
        </w:rPr>
        <w:t>（一）成本效益分析法。是指将投入与产出、效益进行关联性分析的方法。</w:t>
      </w:r>
      <w:r>
        <w:rPr>
          <w:rFonts w:hint="eastAsia" w:eastAsia="仿宋_GB2312"/>
          <w:color w:val="auto"/>
          <w:spacing w:val="17"/>
          <w:sz w:val="32"/>
          <w:szCs w:val="32"/>
          <w:highlight w:val="none"/>
        </w:rPr>
        <w:t>我单位选择该方法可以帮助我校评估项目实施的成本与带来的效益。成本主要是支付的义务教育公用经费、义务教育公用取暖费、困难学生生活补助等，效益则包括改善寄宿生营养状况、提高寄宿生健康水平</w:t>
      </w:r>
      <w:r>
        <w:rPr>
          <w:rFonts w:hint="eastAsia" w:eastAsia="仿宋_GB2312"/>
          <w:color w:val="auto"/>
          <w:spacing w:val="17"/>
          <w:sz w:val="32"/>
          <w:szCs w:val="32"/>
          <w:highlight w:val="none"/>
          <w:lang w:eastAsia="zh-CN"/>
        </w:rPr>
        <w:t>、减轻学生家庭经济负担</w:t>
      </w:r>
      <w:r>
        <w:rPr>
          <w:rFonts w:hint="eastAsia" w:eastAsia="仿宋_GB2312"/>
          <w:color w:val="auto"/>
          <w:spacing w:val="17"/>
          <w:sz w:val="32"/>
          <w:szCs w:val="32"/>
          <w:highlight w:val="none"/>
        </w:rPr>
        <w:t>等。通过分析，学校能确定该项目的实施是否能以合理的成本获得足够的效益，从而做出科学的决策。</w:t>
      </w:r>
      <w:r>
        <w:rPr>
          <w:rFonts w:eastAsia="仿宋_GB2312"/>
          <w:color w:val="auto"/>
          <w:spacing w:val="17"/>
          <w:sz w:val="32"/>
          <w:szCs w:val="32"/>
          <w:highlight w:val="none"/>
        </w:rPr>
        <w:t xml:space="preserve"> </w:t>
      </w:r>
    </w:p>
    <w:p w14:paraId="25974CB2">
      <w:pPr>
        <w:pStyle w:val="9"/>
        <w:widowControl w:val="0"/>
        <w:spacing w:before="0" w:after="0" w:line="560" w:lineRule="exact"/>
        <w:ind w:firstLine="708" w:firstLineChars="200"/>
        <w:jc w:val="both"/>
        <w:outlineLvl w:val="9"/>
        <w:rPr>
          <w:rFonts w:hint="eastAsia" w:eastAsia="仿宋_GB2312"/>
          <w:color w:val="auto"/>
          <w:spacing w:val="17"/>
          <w:sz w:val="32"/>
          <w:szCs w:val="32"/>
          <w:highlight w:val="none"/>
        </w:rPr>
      </w:pPr>
      <w:r>
        <w:rPr>
          <w:rFonts w:ascii="Times New Roman" w:hAnsi="Times New Roman" w:eastAsia="仿宋_GB2312" w:cs="Times New Roman"/>
          <w:b w:val="0"/>
          <w:bCs w:val="0"/>
          <w:color w:val="auto"/>
          <w:spacing w:val="17"/>
          <w:kern w:val="2"/>
          <w:sz w:val="32"/>
          <w:szCs w:val="32"/>
          <w:highlight w:val="none"/>
          <w:lang w:val="en-US" w:eastAsia="zh-CN" w:bidi="ar-SA"/>
        </w:rPr>
        <w:t>（</w:t>
      </w:r>
      <w:r>
        <w:rPr>
          <w:rFonts w:hint="eastAsia" w:ascii="Times New Roman" w:hAnsi="Times New Roman" w:eastAsia="仿宋_GB2312" w:cs="Times New Roman"/>
          <w:b w:val="0"/>
          <w:bCs w:val="0"/>
          <w:color w:val="auto"/>
          <w:spacing w:val="17"/>
          <w:kern w:val="2"/>
          <w:sz w:val="32"/>
          <w:szCs w:val="32"/>
          <w:highlight w:val="none"/>
          <w:lang w:val="en-US" w:eastAsia="zh-CN" w:bidi="ar-SA"/>
        </w:rPr>
        <w:t>二</w:t>
      </w:r>
      <w:r>
        <w:rPr>
          <w:rFonts w:ascii="Times New Roman" w:hAnsi="Times New Roman" w:eastAsia="仿宋_GB2312" w:cs="Times New Roman"/>
          <w:b w:val="0"/>
          <w:bCs w:val="0"/>
          <w:color w:val="auto"/>
          <w:spacing w:val="17"/>
          <w:kern w:val="2"/>
          <w:sz w:val="32"/>
          <w:szCs w:val="32"/>
          <w:highlight w:val="none"/>
          <w:lang w:val="en-US" w:eastAsia="zh-CN" w:bidi="ar-SA"/>
        </w:rPr>
        <w:t>）公众评判法。是指通过专家评估、公众问卷及抽样调查等方式进行评判的方法。</w:t>
      </w:r>
      <w:r>
        <w:rPr>
          <w:rFonts w:hint="eastAsia" w:ascii="Times New Roman" w:hAnsi="Times New Roman" w:eastAsia="仿宋_GB2312" w:cs="Times New Roman"/>
          <w:b w:val="0"/>
          <w:bCs w:val="0"/>
          <w:color w:val="auto"/>
          <w:spacing w:val="17"/>
          <w:kern w:val="2"/>
          <w:sz w:val="32"/>
          <w:szCs w:val="32"/>
          <w:highlight w:val="none"/>
          <w:lang w:val="en-US" w:eastAsia="zh-CN" w:bidi="ar-SA"/>
        </w:rPr>
        <w:t>我单位对收集到的公众意见和评价进行整理、统计和分析，总结出公众对城乡义务教育保障机制补助项目的认可程度、存在的问题及改进方向。将分析结果用于项目的调整和改进，以提高项目的实施效果和公众满意度，更好地满足寄宿生及其家庭的教育需求，促进农村教育事业的发展。</w:t>
      </w:r>
    </w:p>
    <w:p w14:paraId="58B95E39">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14:paraId="66F1B2BF">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绩效评价标准通常包括计划标准、行业标准、历史标准等，用于对绩效指标完成情况进行比较、分析、评价。本次评价主要采用了计划标准、行业标准、历史标准。</w:t>
      </w:r>
    </w:p>
    <w:p w14:paraId="4D299575">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lang w:val="en-US" w:eastAsia="zh-CN"/>
        </w:rPr>
        <w:t>1</w:t>
      </w:r>
      <w:r>
        <w:rPr>
          <w:rFonts w:hint="default" w:ascii="Times New Roman" w:hAnsi="Times New Roman" w:eastAsia="仿宋_GB2312" w:cs="Times New Roman"/>
          <w:b w:val="0"/>
          <w:bCs w:val="0"/>
          <w:color w:val="auto"/>
          <w:highlight w:val="none"/>
          <w:lang w:eastAsia="zh-CN"/>
        </w:rPr>
        <w:t>）</w:t>
      </w:r>
      <w:r>
        <w:rPr>
          <w:rFonts w:hint="default" w:ascii="Times New Roman" w:hAnsi="Times New Roman" w:eastAsia="仿宋_GB2312" w:cs="Times New Roman"/>
          <w:b w:val="0"/>
          <w:bCs w:val="0"/>
          <w:color w:val="auto"/>
          <w:highlight w:val="none"/>
        </w:rPr>
        <w:t>计划标准。指以预先制定的目标、计划、预算、定额等作为评价标准。</w:t>
      </w:r>
      <w:r>
        <w:rPr>
          <w:rFonts w:hint="eastAsia" w:ascii="Times New Roman" w:hAnsi="Times New Roman" w:eastAsia="仿宋_GB2312"/>
          <w:b w:val="0"/>
          <w:bCs w:val="0"/>
          <w:color w:val="auto"/>
          <w:highlight w:val="none"/>
        </w:rPr>
        <w:t>通过明确该项目的各类计划，可以为城乡义务教育保障机制补助项目的实施提供具体的指导和依据，确保项目能够达到预期的目标和效果。</w:t>
      </w:r>
    </w:p>
    <w:p w14:paraId="61F4C512">
      <w:pPr>
        <w:pStyle w:val="9"/>
        <w:numPr>
          <w:ilvl w:val="0"/>
          <w:numId w:val="2"/>
        </w:numPr>
        <w:spacing w:before="0" w:after="0" w:line="560" w:lineRule="exact"/>
        <w:ind w:firstLine="711" w:firstLineChars="200"/>
        <w:jc w:val="both"/>
        <w:rPr>
          <w:rFonts w:hint="default" w:ascii="Times New Roman" w:hAnsi="Times New Roman" w:eastAsia="楷体" w:cs="Times New Roman"/>
          <w:color w:val="auto"/>
          <w:spacing w:val="17"/>
          <w:highlight w:val="none"/>
        </w:rPr>
      </w:pPr>
      <w:r>
        <w:rPr>
          <w:rFonts w:hint="default" w:ascii="Times New Roman" w:hAnsi="Times New Roman" w:eastAsia="楷体" w:cs="Times New Roman"/>
          <w:color w:val="auto"/>
          <w:spacing w:val="17"/>
          <w:highlight w:val="none"/>
        </w:rPr>
        <w:t>绩效评价工作过程</w:t>
      </w:r>
    </w:p>
    <w:p w14:paraId="59A7455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前期准备与规划</w:t>
      </w:r>
    </w:p>
    <w:p w14:paraId="561854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14:paraId="7CB81A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成员构成如下：</w:t>
      </w:r>
    </w:p>
    <w:p w14:paraId="69162C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张春玲</w:t>
      </w:r>
      <w:r>
        <w:rPr>
          <w:rFonts w:hint="default" w:ascii="Times New Roman" w:hAnsi="Times New Roman" w:eastAsia="仿宋_GB2312" w:cs="Times New Roman"/>
          <w:color w:val="auto"/>
          <w:sz w:val="32"/>
          <w:szCs w:val="32"/>
          <w:highlight w:val="none"/>
        </w:rPr>
        <w:t>任评价组组长，绩效评价工作职责为检查项目绩效指标完成情况、审定项目支出绩效评价结果及项目支出绩效评价报告。</w:t>
      </w:r>
    </w:p>
    <w:p w14:paraId="5A5D02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海兰哈力·阿何买提江任评价组副组长，绩效评价工作职责为组织和协调项目工作人员采取实地调查、资料检查等方式，核实项目绩效指标完成情况；组织受益对象对项目工作进行评价等。</w:t>
      </w:r>
    </w:p>
    <w:p w14:paraId="7361FDF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eastAsia" w:eastAsia="仿宋_GB2312" w:cs="Times New Roman"/>
          <w:color w:val="auto"/>
          <w:sz w:val="32"/>
          <w:szCs w:val="32"/>
          <w:highlight w:val="none"/>
          <w:lang w:eastAsia="zh-CN"/>
        </w:rPr>
        <w:t>杨晓丽</w:t>
      </w:r>
      <w:r>
        <w:rPr>
          <w:rFonts w:hint="default" w:ascii="Times New Roman" w:hAnsi="Times New Roman" w:eastAsia="仿宋_GB2312" w:cs="Times New Roman"/>
          <w:color w:val="auto"/>
          <w:sz w:val="32"/>
          <w:szCs w:val="32"/>
          <w:highlight w:val="none"/>
        </w:rPr>
        <w:t>任评价组成员，绩效评价工作职责为做好项目支出绩效评价工作的沟通协调工作，对项目实施情况进行实地调查，编写项目支出绩效评价报告</w:t>
      </w:r>
    </w:p>
    <w:p w14:paraId="5A5052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lang w:eastAsia="zh-CN"/>
        </w:rPr>
        <w:t>）指标体系构建</w:t>
      </w:r>
    </w:p>
    <w:p w14:paraId="2154B56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auto"/>
          <w:spacing w:val="17"/>
          <w:sz w:val="32"/>
          <w:szCs w:val="32"/>
          <w:highlight w:val="none"/>
        </w:rPr>
        <w:t>项目决策、项目过程、项目产出、项目效益四个维度</w:t>
      </w:r>
      <w:r>
        <w:rPr>
          <w:rFonts w:hint="default" w:ascii="Times New Roman" w:hAnsi="Times New Roman" w:eastAsia="仿宋_GB2312" w:cs="Times New Roman"/>
          <w:color w:val="auto"/>
          <w:sz w:val="32"/>
          <w:szCs w:val="32"/>
          <w:highlight w:val="none"/>
          <w:lang w:eastAsia="zh-CN"/>
        </w:rPr>
        <w:t>，选取了具有代表性和可衡量性的关键指标，并为每个指标设定了明确的评价标准与权重，确保评价结果能够全面、准确地反映项目的绩效状况。</w:t>
      </w:r>
    </w:p>
    <w:p w14:paraId="7A1FBB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eastAsia="zh-CN"/>
        </w:rPr>
        <w:t>）数据收集与整理</w:t>
      </w:r>
    </w:p>
    <w:p w14:paraId="187EC4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276678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eastAsia="zh-CN"/>
        </w:rPr>
        <w:t>）数据分析与评估</w:t>
      </w:r>
    </w:p>
    <w:p w14:paraId="136110A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696505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lang w:eastAsia="zh-CN"/>
        </w:rPr>
        <w:t>）报告撰写与反馈</w:t>
      </w:r>
    </w:p>
    <w:p w14:paraId="114D54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6394963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lang w:eastAsia="zh-CN"/>
        </w:rPr>
        <w:t>）后续跟踪与改进</w:t>
      </w:r>
    </w:p>
    <w:p w14:paraId="28AE0F4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3C5248D0">
      <w:pPr>
        <w:numPr>
          <w:ilvl w:val="0"/>
          <w:numId w:val="3"/>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14:paraId="454602C0">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一</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评价情况</w:t>
      </w:r>
    </w:p>
    <w:p w14:paraId="10C4458C">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本项目的综合评价基于对项目各方面绩效的深入分析与评估。从项目目标的达成情况来看，城乡义务教育保障机制经费</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color w:val="auto"/>
          <w:sz w:val="32"/>
          <w:szCs w:val="32"/>
          <w:highlight w:val="none"/>
        </w:rPr>
        <w:t>在义务教育受补助学生人数、非寄宿生受补助人数等方面表现出色，达到了预期的标准与要求。同时，项目也在</w:t>
      </w:r>
      <w:r>
        <w:rPr>
          <w:rFonts w:hint="eastAsia" w:eastAsia="仿宋_GB2312" w:cs="Times New Roman"/>
          <w:color w:val="auto"/>
          <w:sz w:val="32"/>
          <w:szCs w:val="32"/>
          <w:highlight w:val="none"/>
          <w:lang w:val="en-US" w:eastAsia="zh-CN"/>
        </w:rPr>
        <w:t>帮扶学生家庭经济方面</w:t>
      </w:r>
      <w:r>
        <w:rPr>
          <w:rFonts w:hint="default" w:ascii="Times New Roman" w:hAnsi="Times New Roman" w:eastAsia="仿宋_GB2312" w:cs="Times New Roman"/>
          <w:color w:val="auto"/>
          <w:sz w:val="32"/>
          <w:szCs w:val="32"/>
          <w:highlight w:val="none"/>
        </w:rPr>
        <w:t>取得了显著的成效，如</w:t>
      </w:r>
      <w:r>
        <w:rPr>
          <w:rFonts w:hint="eastAsia" w:eastAsia="仿宋_GB2312" w:cs="Times New Roman"/>
          <w:color w:val="auto"/>
          <w:sz w:val="32"/>
          <w:szCs w:val="32"/>
          <w:highlight w:val="none"/>
          <w:lang w:eastAsia="zh-CN"/>
        </w:rPr>
        <w:t>有效</w:t>
      </w:r>
      <w:r>
        <w:rPr>
          <w:rFonts w:hint="default" w:ascii="Times New Roman" w:hAnsi="Times New Roman" w:eastAsia="仿宋_GB2312" w:cs="Times New Roman"/>
          <w:color w:val="auto"/>
          <w:sz w:val="32"/>
          <w:szCs w:val="32"/>
          <w:highlight w:val="none"/>
        </w:rPr>
        <w:t>减轻学生家庭经济负担等。</w:t>
      </w:r>
    </w:p>
    <w:p w14:paraId="780FF716">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在项目管理方面，</w:t>
      </w:r>
      <w:r>
        <w:rPr>
          <w:rFonts w:hint="eastAsia" w:eastAsia="仿宋_GB2312" w:cs="Times New Roman"/>
          <w:color w:val="auto"/>
          <w:sz w:val="32"/>
          <w:szCs w:val="32"/>
          <w:highlight w:val="none"/>
          <w:lang w:eastAsia="zh-CN"/>
        </w:rPr>
        <w:t>托里县第二小学</w:t>
      </w:r>
      <w:r>
        <w:rPr>
          <w:rFonts w:hint="default" w:ascii="Times New Roman" w:hAnsi="Times New Roman" w:eastAsia="仿宋_GB2312" w:cs="Times New Roman"/>
          <w:color w:val="auto"/>
          <w:sz w:val="32"/>
          <w:szCs w:val="32"/>
          <w:highlight w:val="none"/>
        </w:rPr>
        <w:t>通过有效的规划、组织与协调，项目得以顺利实施，并在预算与时间上保持了良好的控制。</w:t>
      </w:r>
    </w:p>
    <w:p w14:paraId="22A3242A">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从项目效益的角度来看，本项目不仅实现了预期的社会效益等方面产生了积极的影响。具体而言，有效减轻学生家庭经济负担等方面的提升，为项目的利益相关者带来了实实在在的利益。</w:t>
      </w:r>
    </w:p>
    <w:p w14:paraId="2081DC24">
      <w:pPr>
        <w:pStyle w:val="8"/>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t>综上所述，城乡义务教育保障机制经费项目在绩效评价中表现出色，达到了项目的预期目标，并在多个方面取得了显著的成效。</w:t>
      </w:r>
    </w:p>
    <w:p w14:paraId="3F2E4EFB">
      <w:pPr>
        <w:pStyle w:val="9"/>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color w:val="auto"/>
          <w:highlight w:val="none"/>
          <w:lang w:val="en-US" w:eastAsia="zh-CN"/>
        </w:rPr>
      </w:pP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二</w:t>
      </w:r>
      <w:r>
        <w:rPr>
          <w:rFonts w:hint="default" w:ascii="Times New Roman" w:hAnsi="Times New Roman" w:eastAsia="楷体_GB2312" w:cs="Times New Roman"/>
          <w:color w:val="auto"/>
          <w:highlight w:val="none"/>
          <w:lang w:eastAsia="zh-CN"/>
        </w:rPr>
        <w:t>）</w:t>
      </w:r>
      <w:r>
        <w:rPr>
          <w:rFonts w:hint="default" w:ascii="Times New Roman" w:hAnsi="Times New Roman" w:eastAsia="楷体_GB2312" w:cs="Times New Roman"/>
          <w:color w:val="auto"/>
          <w:highlight w:val="none"/>
          <w:lang w:val="en-US" w:eastAsia="zh-CN"/>
        </w:rPr>
        <w:t>评价结论</w:t>
      </w:r>
    </w:p>
    <w:p w14:paraId="7A37F480">
      <w:pPr>
        <w:pStyle w:val="9"/>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分，属于“优”。其中，项目决策类指标权重为20分，得分为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%。项目过程类指标权重为20分，得分为</w:t>
      </w:r>
      <w:r>
        <w:rPr>
          <w:rFonts w:hint="eastAsia" w:ascii="Times New Roman" w:hAnsi="Times New Roman" w:eastAsia="仿宋_GB2312" w:cs="Times New Roman"/>
          <w:b w:val="0"/>
          <w:bCs w:val="0"/>
          <w:color w:val="auto"/>
          <w:highlight w:val="none"/>
          <w:lang w:val="en-US" w:eastAsia="zh-CN"/>
        </w:rPr>
        <w:t>19.92</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40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%。具体打分情况详见：附件1综合评分表</w:t>
      </w:r>
      <w:r>
        <w:rPr>
          <w:rFonts w:hint="default" w:ascii="Times New Roman" w:hAnsi="Times New Roman" w:eastAsia="仿宋_GB2312" w:cs="Times New Roman"/>
          <w:b w:val="0"/>
          <w:bCs w:val="0"/>
          <w:color w:val="auto"/>
          <w:highlight w:val="none"/>
          <w:lang w:eastAsia="zh-CN"/>
        </w:rPr>
        <w:t>。</w:t>
      </w:r>
    </w:p>
    <w:p w14:paraId="688194F8">
      <w:pPr>
        <w:pStyle w:val="9"/>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2"/>
        <w:tblW w:w="4998" w:type="pct"/>
        <w:jc w:val="center"/>
        <w:tblLayout w:type="autofit"/>
        <w:tblCellMar>
          <w:top w:w="0" w:type="dxa"/>
          <w:left w:w="108" w:type="dxa"/>
          <w:bottom w:w="0" w:type="dxa"/>
          <w:right w:w="108" w:type="dxa"/>
        </w:tblCellMar>
      </w:tblPr>
      <w:tblGrid>
        <w:gridCol w:w="2787"/>
        <w:gridCol w:w="1927"/>
        <w:gridCol w:w="2023"/>
        <w:gridCol w:w="2023"/>
      </w:tblGrid>
      <w:tr w14:paraId="2154393C">
        <w:tblPrEx>
          <w:tblCellMar>
            <w:top w:w="0" w:type="dxa"/>
            <w:left w:w="108" w:type="dxa"/>
            <w:bottom w:w="0" w:type="dxa"/>
            <w:right w:w="108" w:type="dxa"/>
          </w:tblCellMar>
        </w:tblPrEx>
        <w:trPr>
          <w:trHeight w:val="90" w:hRule="atLeast"/>
          <w:tblHeader/>
          <w:jc w:val="center"/>
        </w:trPr>
        <w:tc>
          <w:tcPr>
            <w:tcW w:w="1590" w:type="pct"/>
            <w:tcBorders>
              <w:top w:val="single" w:color="auto" w:sz="4" w:space="0"/>
              <w:left w:val="single" w:color="auto" w:sz="4" w:space="0"/>
              <w:bottom w:val="single" w:color="auto" w:sz="4" w:space="0"/>
              <w:right w:val="single" w:color="auto" w:sz="4" w:space="0"/>
            </w:tcBorders>
            <w:shd w:val="clear" w:color="000000" w:fill="BEBEBE"/>
            <w:vAlign w:val="center"/>
          </w:tcPr>
          <w:p w14:paraId="4582C1E8">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1099" w:type="pct"/>
            <w:tcBorders>
              <w:top w:val="single" w:color="auto" w:sz="4" w:space="0"/>
              <w:left w:val="nil"/>
              <w:bottom w:val="single" w:color="auto" w:sz="4" w:space="0"/>
              <w:right w:val="single" w:color="auto" w:sz="4" w:space="0"/>
            </w:tcBorders>
            <w:shd w:val="clear" w:color="000000" w:fill="BEBEBE"/>
            <w:vAlign w:val="center"/>
          </w:tcPr>
          <w:p w14:paraId="2FFC9DAF">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2F0DC206">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c>
          <w:tcPr>
            <w:tcW w:w="1154" w:type="pct"/>
            <w:tcBorders>
              <w:top w:val="single" w:color="auto" w:sz="4" w:space="0"/>
              <w:left w:val="nil"/>
              <w:bottom w:val="single" w:color="auto" w:sz="4" w:space="0"/>
              <w:right w:val="single" w:color="auto" w:sz="4" w:space="0"/>
            </w:tcBorders>
            <w:shd w:val="clear" w:color="000000" w:fill="BEBEBE"/>
            <w:vAlign w:val="center"/>
          </w:tcPr>
          <w:p w14:paraId="5EFC7E41">
            <w:pPr>
              <w:jc w:val="center"/>
              <w:rPr>
                <w:rFonts w:hint="eastAsia"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得分率</w:t>
            </w:r>
          </w:p>
        </w:tc>
      </w:tr>
      <w:tr w14:paraId="64C2252C">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032BA2C6">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1099" w:type="pct"/>
            <w:tcBorders>
              <w:top w:val="nil"/>
              <w:left w:val="nil"/>
              <w:bottom w:val="single" w:color="auto" w:sz="4" w:space="0"/>
              <w:right w:val="single" w:color="auto" w:sz="4" w:space="0"/>
            </w:tcBorders>
            <w:shd w:val="clear" w:color="auto" w:fill="auto"/>
            <w:vAlign w:val="center"/>
          </w:tcPr>
          <w:p w14:paraId="797C502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567EC890">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725695EC">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32566BD1">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7AAFFE8">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1099" w:type="pct"/>
            <w:tcBorders>
              <w:top w:val="nil"/>
              <w:left w:val="nil"/>
              <w:bottom w:val="single" w:color="auto" w:sz="4" w:space="0"/>
              <w:right w:val="single" w:color="auto" w:sz="4" w:space="0"/>
            </w:tcBorders>
            <w:shd w:val="clear" w:color="auto" w:fill="auto"/>
            <w:vAlign w:val="center"/>
          </w:tcPr>
          <w:p w14:paraId="182D3168">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19B57ACE">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19.92</w:t>
            </w:r>
          </w:p>
        </w:tc>
        <w:tc>
          <w:tcPr>
            <w:tcW w:w="1154" w:type="pct"/>
            <w:tcBorders>
              <w:top w:val="nil"/>
              <w:left w:val="nil"/>
              <w:bottom w:val="single" w:color="auto" w:sz="4" w:space="0"/>
              <w:right w:val="single" w:color="auto" w:sz="4" w:space="0"/>
            </w:tcBorders>
            <w:shd w:val="clear" w:color="auto" w:fill="auto"/>
            <w:vAlign w:val="center"/>
          </w:tcPr>
          <w:p w14:paraId="796788A5">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99.6%</w:t>
            </w:r>
          </w:p>
        </w:tc>
      </w:tr>
      <w:tr w14:paraId="372F175B">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6D967AEE">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1099" w:type="pct"/>
            <w:tcBorders>
              <w:top w:val="nil"/>
              <w:left w:val="nil"/>
              <w:bottom w:val="single" w:color="auto" w:sz="4" w:space="0"/>
              <w:right w:val="single" w:color="auto" w:sz="4" w:space="0"/>
            </w:tcBorders>
            <w:shd w:val="clear" w:color="auto" w:fill="auto"/>
            <w:vAlign w:val="center"/>
          </w:tcPr>
          <w:p w14:paraId="46A040B5">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659382BD">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1154" w:type="pct"/>
            <w:tcBorders>
              <w:top w:val="nil"/>
              <w:left w:val="nil"/>
              <w:bottom w:val="single" w:color="auto" w:sz="4" w:space="0"/>
              <w:right w:val="single" w:color="auto" w:sz="4" w:space="0"/>
            </w:tcBorders>
            <w:shd w:val="clear" w:color="auto" w:fill="auto"/>
            <w:vAlign w:val="center"/>
          </w:tcPr>
          <w:p w14:paraId="710F759A">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59F160A4">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2DE6220B">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1099" w:type="pct"/>
            <w:tcBorders>
              <w:top w:val="nil"/>
              <w:left w:val="nil"/>
              <w:bottom w:val="single" w:color="auto" w:sz="4" w:space="0"/>
              <w:right w:val="single" w:color="auto" w:sz="4" w:space="0"/>
            </w:tcBorders>
            <w:shd w:val="clear" w:color="auto" w:fill="auto"/>
            <w:vAlign w:val="center"/>
          </w:tcPr>
          <w:p w14:paraId="4FE5500F">
            <w:pPr>
              <w:jc w:val="center"/>
              <w:rPr>
                <w:rFonts w:hint="default" w:ascii="Times New Roman" w:hAnsi="Times New Roman" w:eastAsia="仿宋_GB2312" w:cs="Times New Roman"/>
                <w:color w:val="auto"/>
                <w:sz w:val="21"/>
                <w:szCs w:val="21"/>
                <w:highlight w:val="none"/>
                <w:lang w:val="en-US" w:eastAsia="zh-CN"/>
              </w:rPr>
            </w:pPr>
            <w:r>
              <w:rPr>
                <w:rFonts w:hint="default" w:ascii="Times New Roman" w:hAnsi="Times New Roman"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689ED3C0">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1154" w:type="pct"/>
            <w:tcBorders>
              <w:top w:val="nil"/>
              <w:left w:val="nil"/>
              <w:bottom w:val="single" w:color="auto" w:sz="4" w:space="0"/>
              <w:right w:val="single" w:color="auto" w:sz="4" w:space="0"/>
            </w:tcBorders>
            <w:shd w:val="clear" w:color="auto" w:fill="auto"/>
            <w:vAlign w:val="center"/>
          </w:tcPr>
          <w:p w14:paraId="318AE459">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100%</w:t>
            </w:r>
          </w:p>
        </w:tc>
      </w:tr>
      <w:tr w14:paraId="64884664">
        <w:tblPrEx>
          <w:tblCellMar>
            <w:top w:w="0" w:type="dxa"/>
            <w:left w:w="108" w:type="dxa"/>
            <w:bottom w:w="0" w:type="dxa"/>
            <w:right w:w="108" w:type="dxa"/>
          </w:tblCellMar>
        </w:tblPrEx>
        <w:trPr>
          <w:trHeight w:val="340" w:hRule="atLeast"/>
          <w:jc w:val="center"/>
        </w:trPr>
        <w:tc>
          <w:tcPr>
            <w:tcW w:w="1590" w:type="pct"/>
            <w:tcBorders>
              <w:top w:val="nil"/>
              <w:left w:val="single" w:color="auto" w:sz="4" w:space="0"/>
              <w:bottom w:val="single" w:color="auto" w:sz="4" w:space="0"/>
              <w:right w:val="single" w:color="auto" w:sz="4" w:space="0"/>
            </w:tcBorders>
            <w:shd w:val="clear" w:color="auto" w:fill="auto"/>
            <w:vAlign w:val="center"/>
          </w:tcPr>
          <w:p w14:paraId="59AB698D">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1099" w:type="pct"/>
            <w:tcBorders>
              <w:top w:val="nil"/>
              <w:left w:val="nil"/>
              <w:bottom w:val="single" w:color="auto" w:sz="4" w:space="0"/>
              <w:right w:val="single" w:color="auto" w:sz="4" w:space="0"/>
            </w:tcBorders>
            <w:shd w:val="clear" w:color="auto" w:fill="auto"/>
            <w:vAlign w:val="center"/>
          </w:tcPr>
          <w:p w14:paraId="11805C30">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1154" w:type="pct"/>
            <w:tcBorders>
              <w:top w:val="nil"/>
              <w:left w:val="nil"/>
              <w:bottom w:val="single" w:color="auto" w:sz="4" w:space="0"/>
              <w:right w:val="single" w:color="auto" w:sz="4" w:space="0"/>
            </w:tcBorders>
            <w:shd w:val="clear" w:color="auto" w:fill="auto"/>
            <w:vAlign w:val="center"/>
          </w:tcPr>
          <w:p w14:paraId="5C34453E">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99.92</w:t>
            </w:r>
          </w:p>
        </w:tc>
        <w:tc>
          <w:tcPr>
            <w:tcW w:w="1154" w:type="pct"/>
            <w:tcBorders>
              <w:top w:val="nil"/>
              <w:left w:val="nil"/>
              <w:bottom w:val="single" w:color="auto" w:sz="4" w:space="0"/>
              <w:right w:val="single" w:color="auto" w:sz="4" w:space="0"/>
            </w:tcBorders>
            <w:shd w:val="clear" w:color="auto" w:fill="auto"/>
            <w:vAlign w:val="center"/>
          </w:tcPr>
          <w:p w14:paraId="3A33C879">
            <w:pPr>
              <w:jc w:val="center"/>
              <w:rPr>
                <w:rFonts w:hint="default" w:ascii="Times New Roman" w:hAnsi="Times New Roman" w:eastAsia="仿宋_GB2312" w:cs="Times New Roman"/>
                <w:b/>
                <w:bCs/>
                <w:color w:val="auto"/>
                <w:sz w:val="21"/>
                <w:szCs w:val="21"/>
                <w:highlight w:val="none"/>
                <w:lang w:val="en-US" w:eastAsia="zh-CN"/>
              </w:rPr>
            </w:pPr>
            <w:r>
              <w:rPr>
                <w:rFonts w:hint="eastAsia" w:eastAsia="仿宋_GB2312" w:cs="Times New Roman"/>
                <w:b/>
                <w:bCs/>
                <w:color w:val="auto"/>
                <w:sz w:val="21"/>
                <w:szCs w:val="21"/>
                <w:highlight w:val="none"/>
                <w:lang w:val="en-US" w:eastAsia="zh-CN"/>
              </w:rPr>
              <w:t>99.92%</w:t>
            </w:r>
          </w:p>
        </w:tc>
      </w:tr>
    </w:tbl>
    <w:p w14:paraId="285D0B96">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14:paraId="7062BAC4">
      <w:pPr>
        <w:pStyle w:val="9"/>
        <w:spacing w:before="0" w:after="0" w:line="560" w:lineRule="exact"/>
        <w:ind w:firstLine="643" w:firstLineChars="200"/>
        <w:jc w:val="both"/>
        <w:rPr>
          <w:rFonts w:hint="default" w:ascii="Times New Roman" w:hAnsi="Times New Roman" w:eastAsia="楷体_GB2312" w:cs="Times New Roman"/>
          <w:color w:val="auto"/>
          <w:highlight w:val="none"/>
        </w:rPr>
      </w:pPr>
      <w:r>
        <w:rPr>
          <w:rFonts w:hint="default" w:ascii="Times New Roman" w:hAnsi="Times New Roman" w:eastAsia="楷体_GB2312" w:cs="Times New Roman"/>
          <w:color w:val="auto"/>
          <w:highlight w:val="none"/>
        </w:rPr>
        <w:t>（一）项目决策情况</w:t>
      </w:r>
    </w:p>
    <w:p w14:paraId="298F2E7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项目决策类指标包括项目立项、绩效目标和资金投入三方面的内容，由6个三级指标构成，权重分值为20分，实际得分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w:t>
      </w:r>
    </w:p>
    <w:p w14:paraId="3DA99BEF">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1.项目立项</w:t>
      </w:r>
    </w:p>
    <w:p w14:paraId="552D31A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（1）立项依据充分性</w:t>
      </w:r>
    </w:p>
    <w:p w14:paraId="4C242A4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AC51C1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14:paraId="7D0E9B0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项目申请、设立过程符合相关要求，严格按照审批流程准备符合要求的文件、材料；</w:t>
      </w:r>
      <w:r>
        <w:rPr>
          <w:rFonts w:hint="default" w:ascii="Times New Roman" w:hAnsi="Times New Roman" w:eastAsia="仿宋_GB2312" w:cs="Times New Roman"/>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14:paraId="51AD84A5">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2.绩效目标</w:t>
      </w:r>
    </w:p>
    <w:p w14:paraId="40D6F95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（1）绩效目标合理性</w:t>
      </w:r>
    </w:p>
    <w:p w14:paraId="6690A00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275F27B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（2）绩效指标明确性</w:t>
      </w:r>
    </w:p>
    <w:p w14:paraId="2317F41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75260718">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3.资金投入</w:t>
      </w:r>
    </w:p>
    <w:p w14:paraId="3148FCE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（1）预算编制科学性</w:t>
      </w:r>
    </w:p>
    <w:p w14:paraId="062793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14:paraId="2979942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14:paraId="22DE312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（2）资金分配合理性</w:t>
      </w:r>
    </w:p>
    <w:p w14:paraId="082F5F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14:paraId="61496D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14:paraId="20DE98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3EB5D7C">
      <w:pPr>
        <w:pStyle w:val="9"/>
        <w:numPr>
          <w:ilvl w:val="0"/>
          <w:numId w:val="4"/>
        </w:numPr>
        <w:spacing w:before="0" w:after="0" w:line="560" w:lineRule="exact"/>
        <w:ind w:firstLine="643" w:firstLineChars="20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rPr>
        <w:t>项目过程情况</w:t>
      </w:r>
    </w:p>
    <w:p w14:paraId="5F5155F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项目过程类指标包括资金管理和组织实施两方面的内容，由5个三级指标构成，权重分值为20分，实际得分</w:t>
      </w:r>
      <w:r>
        <w:rPr>
          <w:rFonts w:hint="eastAsia" w:eastAsia="仿宋_GB2312" w:cs="Times New Roman"/>
          <w:color w:val="auto"/>
          <w:sz w:val="32"/>
          <w:szCs w:val="32"/>
          <w:highlight w:val="none"/>
          <w:lang w:val="en-US" w:eastAsia="zh-CN"/>
        </w:rPr>
        <w:t>19.92</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99.6</w:t>
      </w:r>
      <w:r>
        <w:rPr>
          <w:rFonts w:hint="default" w:ascii="Times New Roman" w:hAnsi="Times New Roman" w:eastAsia="仿宋_GB2312" w:cs="Times New Roman"/>
          <w:color w:val="auto"/>
          <w:sz w:val="32"/>
          <w:szCs w:val="32"/>
          <w:highlight w:val="none"/>
          <w:lang w:val="en-US" w:eastAsia="zh-CN"/>
        </w:rPr>
        <w:t>%。</w:t>
      </w:r>
    </w:p>
    <w:p w14:paraId="57353379">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1.资金管理</w:t>
      </w:r>
    </w:p>
    <w:p w14:paraId="67A67EB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（1）资金到位率</w:t>
      </w:r>
    </w:p>
    <w:p w14:paraId="1505381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本项目总投资</w:t>
      </w:r>
      <w:r>
        <w:rPr>
          <w:rFonts w:hint="eastAsia" w:eastAsia="仿宋_GB2312" w:cs="Times New Roman"/>
          <w:color w:val="auto"/>
          <w:sz w:val="32"/>
          <w:szCs w:val="32"/>
          <w:highlight w:val="none"/>
          <w:lang w:val="en-US" w:eastAsia="zh-CN"/>
        </w:rPr>
        <w:t>204.99</w:t>
      </w:r>
      <w:r>
        <w:rPr>
          <w:rFonts w:hint="default" w:ascii="Times New Roman" w:hAnsi="Times New Roman" w:eastAsia="仿宋_GB2312" w:cs="Times New Roman"/>
          <w:color w:val="auto"/>
          <w:sz w:val="32"/>
          <w:szCs w:val="32"/>
          <w:highlight w:val="none"/>
          <w:lang w:val="en-US" w:eastAsia="zh-CN"/>
        </w:rPr>
        <w:t>万元，财政资金及时足额到位，到位率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%，预算资金按计划进度执行。</w:t>
      </w:r>
    </w:p>
    <w:p w14:paraId="462486F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（2）预算执行率</w:t>
      </w:r>
    </w:p>
    <w:p w14:paraId="574AF10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预算编制较为详细，项目资金支出总体能够按照预算执行，预算资金支出</w:t>
      </w:r>
      <w:r>
        <w:rPr>
          <w:rFonts w:hint="eastAsia" w:eastAsia="仿宋_GB2312" w:cs="Times New Roman"/>
          <w:color w:val="auto"/>
          <w:sz w:val="32"/>
          <w:szCs w:val="32"/>
          <w:highlight w:val="none"/>
          <w:lang w:val="en-US" w:eastAsia="zh-CN"/>
        </w:rPr>
        <w:t>192.75</w:t>
      </w:r>
      <w:r>
        <w:rPr>
          <w:rFonts w:hint="default" w:ascii="Times New Roman" w:hAnsi="Times New Roman" w:eastAsia="仿宋_GB2312" w:cs="Times New Roman"/>
          <w:color w:val="auto"/>
          <w:sz w:val="32"/>
          <w:szCs w:val="32"/>
          <w:highlight w:val="none"/>
          <w:lang w:val="en-US" w:eastAsia="zh-CN"/>
        </w:rPr>
        <w:t>万元，预算执行率为</w:t>
      </w:r>
      <w:r>
        <w:rPr>
          <w:rFonts w:hint="eastAsia" w:eastAsia="仿宋_GB2312" w:cs="Times New Roman"/>
          <w:color w:val="auto"/>
          <w:sz w:val="32"/>
          <w:szCs w:val="32"/>
          <w:highlight w:val="none"/>
          <w:lang w:val="en-US" w:eastAsia="zh-CN"/>
        </w:rPr>
        <w:t>94.03</w:t>
      </w:r>
      <w:r>
        <w:rPr>
          <w:rFonts w:hint="default" w:ascii="Times New Roman" w:hAnsi="Times New Roman" w:eastAsia="仿宋_GB2312" w:cs="Times New Roman"/>
          <w:color w:val="auto"/>
          <w:sz w:val="32"/>
          <w:szCs w:val="32"/>
          <w:highlight w:val="none"/>
          <w:lang w:val="en-US" w:eastAsia="zh-CN"/>
        </w:rPr>
        <w:t>%。</w:t>
      </w:r>
    </w:p>
    <w:p w14:paraId="0E7E3AD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（3）资金使用合规性</w:t>
      </w:r>
    </w:p>
    <w:p w14:paraId="6097108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14:paraId="3A9D9C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14:paraId="23B25E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14:paraId="767FE399">
      <w:pPr>
        <w:pStyle w:val="20"/>
        <w:keepNext w:val="0"/>
        <w:keepLines w:val="0"/>
        <w:pageBreakBefore w:val="0"/>
        <w:widowControl w:val="0"/>
        <w:shd w:val="clear" w:color="auto" w:fill="auto"/>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en-US" w:eastAsia="zh-CN"/>
        </w:rPr>
        <w:t>2.组织实施</w:t>
      </w:r>
    </w:p>
    <w:p w14:paraId="27E7AA21">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（1）管理制度健全性</w:t>
      </w:r>
    </w:p>
    <w:p w14:paraId="6B510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14:paraId="2A3D5B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在制度设计上，我们注重了制度的科学性与可操作性，确保制度能够切实指导项目的执行与管理。</w:t>
      </w:r>
    </w:p>
    <w:p w14:paraId="2D8E89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14:paraId="70879B1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14:paraId="59F5EBF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（2）制度执行有效性</w:t>
      </w:r>
    </w:p>
    <w:p w14:paraId="70D31F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14:paraId="44947E1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14:paraId="36BA986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综上所述，本项目的管理制度在执行过程中表现出了高度的有效性，既确保了项目的顺利进行，又实现了项目目标的有效达成。</w:t>
      </w:r>
    </w:p>
    <w:p w14:paraId="08A00E0C">
      <w:pPr>
        <w:pStyle w:val="10"/>
        <w:numPr>
          <w:ilvl w:val="0"/>
          <w:numId w:val="4"/>
        </w:numPr>
        <w:spacing w:line="560" w:lineRule="exact"/>
        <w:ind w:firstLine="643"/>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项目产出</w:t>
      </w:r>
      <w:r>
        <w:rPr>
          <w:rFonts w:hint="default" w:ascii="Times New Roman" w:hAnsi="Times New Roman" w:eastAsia="楷体_GB2312" w:cs="Times New Roman"/>
          <w:b/>
          <w:bCs/>
          <w:color w:val="auto"/>
          <w:sz w:val="32"/>
          <w:szCs w:val="32"/>
          <w:highlight w:val="none"/>
          <w:lang w:val="en-US" w:eastAsia="zh-CN"/>
        </w:rPr>
        <w:t>情况</w:t>
      </w:r>
    </w:p>
    <w:p w14:paraId="2A5787C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项目产出类指标包括产出数量、产出质量、产出时效、产出成本四方面的内容，由</w:t>
      </w:r>
      <w:r>
        <w:rPr>
          <w:rFonts w:hint="eastAsia"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lang w:val="en-US" w:eastAsia="zh-CN"/>
        </w:rPr>
        <w:t>个三级指标构成，权重分为40分，实际得分</w:t>
      </w:r>
      <w:r>
        <w:rPr>
          <w:rFonts w:hint="eastAsia" w:eastAsia="仿宋_GB2312" w:cs="Times New Roman"/>
          <w:color w:val="auto"/>
          <w:sz w:val="32"/>
          <w:szCs w:val="32"/>
          <w:highlight w:val="none"/>
          <w:lang w:val="en-US" w:eastAsia="zh-CN"/>
        </w:rPr>
        <w:t>40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%。具体产出指标完成情况如下：</w:t>
      </w:r>
    </w:p>
    <w:p w14:paraId="7BD93788">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1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①</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数量指标：</w:t>
      </w:r>
    </w:p>
    <w:p w14:paraId="2E7BD6F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指标1：义务教育受补助学生人数，指标值：</w:t>
      </w:r>
      <w:r>
        <w:rPr>
          <w:rFonts w:hint="eastAsia" w:eastAsia="仿宋_GB2312" w:cs="Times New Roman"/>
          <w:color w:val="auto"/>
          <w:sz w:val="32"/>
          <w:szCs w:val="32"/>
          <w:highlight w:val="none"/>
          <w:lang w:val="en-US" w:eastAsia="zh-CN"/>
        </w:rPr>
        <w:t>1563人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1567人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3D6449B0">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：非寄宿生受补助人数，指标值：</w:t>
      </w:r>
      <w:r>
        <w:rPr>
          <w:rFonts w:hint="eastAsia" w:eastAsia="仿宋_GB2312" w:cs="Times New Roman"/>
          <w:color w:val="auto"/>
          <w:sz w:val="32"/>
          <w:szCs w:val="32"/>
          <w:highlight w:val="none"/>
          <w:lang w:val="en-US" w:eastAsia="zh-CN"/>
        </w:rPr>
        <w:t>516人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516人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3411D51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rPr>
        <w:t>：寄宿生补助人数，指标值：</w:t>
      </w:r>
      <w:r>
        <w:rPr>
          <w:rFonts w:hint="eastAsia" w:eastAsia="仿宋_GB2312" w:cs="Times New Roman"/>
          <w:color w:val="auto"/>
          <w:sz w:val="32"/>
          <w:szCs w:val="32"/>
          <w:highlight w:val="none"/>
          <w:lang w:val="en-US" w:eastAsia="zh-CN"/>
        </w:rPr>
        <w:t>52人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72人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009F55D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：取暖费补助人数，指标值：</w:t>
      </w:r>
      <w:r>
        <w:rPr>
          <w:rFonts w:hint="eastAsia" w:eastAsia="仿宋_GB2312" w:cs="Times New Roman"/>
          <w:color w:val="auto"/>
          <w:sz w:val="32"/>
          <w:szCs w:val="32"/>
          <w:highlight w:val="none"/>
          <w:lang w:val="en-US" w:eastAsia="zh-CN"/>
        </w:rPr>
        <w:t>1563人</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1567人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292E21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2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②</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质量指标：</w:t>
      </w:r>
    </w:p>
    <w:p w14:paraId="14BA4E8B">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：义务教育公用经费享受比例，指标值：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0E05B6FF">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：城乡义务教育补助政策学生覆盖率，指标值：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100%人</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2212CA7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3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③</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时效指标：</w:t>
      </w:r>
    </w:p>
    <w:p w14:paraId="4EE0A22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：资金按期拨付率，指标值：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3A428D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8</w:t>
      </w:r>
      <w:r>
        <w:rPr>
          <w:rFonts w:hint="default" w:ascii="Times New Roman" w:hAnsi="Times New Roman" w:eastAsia="仿宋_GB2312" w:cs="Times New Roman"/>
          <w:color w:val="auto"/>
          <w:sz w:val="32"/>
          <w:szCs w:val="32"/>
          <w:highlight w:val="none"/>
        </w:rPr>
        <w:t>：项目完成时间，指标值：</w:t>
      </w:r>
      <w:r>
        <w:rPr>
          <w:rFonts w:hint="eastAsia" w:eastAsia="仿宋_GB2312" w:cs="Times New Roman"/>
          <w:color w:val="auto"/>
          <w:sz w:val="32"/>
          <w:szCs w:val="32"/>
          <w:highlight w:val="none"/>
          <w:lang w:val="en-US" w:eastAsia="zh-CN"/>
        </w:rPr>
        <w:t>2024年12月25日</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2024年12月31日</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10FC20D9">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 4 \* GB3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rPr>
        <w:t>④</w:t>
      </w:r>
      <w:r>
        <w:rPr>
          <w:rFonts w:hint="default" w:ascii="Times New Roman" w:hAnsi="Times New Roman" w:eastAsia="仿宋_GB2312" w:cs="Times New Roman"/>
          <w:color w:val="auto"/>
          <w:sz w:val="32"/>
          <w:szCs w:val="32"/>
          <w:highlight w:val="none"/>
        </w:rPr>
        <w:fldChar w:fldCharType="end"/>
      </w:r>
      <w:r>
        <w:rPr>
          <w:rFonts w:hint="default" w:ascii="Times New Roman" w:hAnsi="Times New Roman" w:eastAsia="仿宋_GB2312" w:cs="Times New Roman"/>
          <w:color w:val="auto"/>
          <w:sz w:val="32"/>
          <w:szCs w:val="32"/>
          <w:highlight w:val="none"/>
        </w:rPr>
        <w:t>成本指标：</w:t>
      </w:r>
    </w:p>
    <w:p w14:paraId="0B969E5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：公用经费，指标值：</w:t>
      </w:r>
      <w:r>
        <w:rPr>
          <w:rFonts w:hint="eastAsia" w:eastAsia="仿宋_GB2312" w:cs="Times New Roman"/>
          <w:color w:val="auto"/>
          <w:sz w:val="32"/>
          <w:szCs w:val="32"/>
          <w:highlight w:val="none"/>
          <w:lang w:val="en-US" w:eastAsia="zh-CN"/>
        </w:rPr>
        <w:t>&lt;=118.84万元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118.84万元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59DBBBC">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10</w:t>
      </w:r>
      <w:r>
        <w:rPr>
          <w:rFonts w:hint="default" w:ascii="Times New Roman" w:hAnsi="Times New Roman" w:eastAsia="仿宋_GB2312" w:cs="Times New Roman"/>
          <w:color w:val="auto"/>
          <w:sz w:val="32"/>
          <w:szCs w:val="32"/>
          <w:highlight w:val="none"/>
        </w:rPr>
        <w:t>：取暖费，指标值：</w:t>
      </w:r>
      <w:r>
        <w:rPr>
          <w:rFonts w:hint="eastAsia" w:eastAsia="仿宋_GB2312" w:cs="Times New Roman"/>
          <w:color w:val="auto"/>
          <w:sz w:val="32"/>
          <w:szCs w:val="32"/>
          <w:highlight w:val="none"/>
          <w:lang w:val="en-US" w:eastAsia="zh-CN"/>
        </w:rPr>
        <w:t>&lt;=33.97万元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33.97万元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5F536D7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：困难学生补助，指标值：</w:t>
      </w:r>
      <w:r>
        <w:rPr>
          <w:rFonts w:hint="eastAsia" w:eastAsia="仿宋_GB2312" w:cs="Times New Roman"/>
          <w:color w:val="auto"/>
          <w:sz w:val="32"/>
          <w:szCs w:val="32"/>
          <w:highlight w:val="none"/>
          <w:lang w:val="en-US" w:eastAsia="zh-CN"/>
        </w:rPr>
        <w:t>&lt;=52.18万元</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val="en-US" w:eastAsia="zh-CN"/>
        </w:rPr>
        <w:t>39.94万元</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76.54</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w:t>
      </w:r>
    </w:p>
    <w:p w14:paraId="78FE1F5E">
      <w:pPr>
        <w:pStyle w:val="10"/>
        <w:numPr>
          <w:ilvl w:val="0"/>
          <w:numId w:val="4"/>
        </w:numPr>
        <w:spacing w:line="560" w:lineRule="exact"/>
        <w:ind w:firstLine="643"/>
        <w:rPr>
          <w:rFonts w:hint="default" w:ascii="Times New Roman" w:hAnsi="Times New Roman" w:eastAsia="楷体_GB2312" w:cs="Times New Roman"/>
          <w:b/>
          <w:bCs/>
          <w:color w:val="auto"/>
          <w:sz w:val="32"/>
          <w:szCs w:val="32"/>
          <w:highlight w:val="none"/>
          <w:lang w:val="en-US" w:eastAsia="zh-CN"/>
        </w:rPr>
      </w:pPr>
      <w:r>
        <w:rPr>
          <w:rFonts w:hint="default" w:ascii="Times New Roman" w:hAnsi="Times New Roman" w:eastAsia="楷体_GB2312" w:cs="Times New Roman"/>
          <w:b/>
          <w:bCs/>
          <w:color w:val="auto"/>
          <w:sz w:val="32"/>
          <w:szCs w:val="32"/>
          <w:highlight w:val="none"/>
          <w:lang w:val="en-US" w:eastAsia="zh-CN"/>
        </w:rPr>
        <w:t>项目效益情况</w:t>
      </w:r>
    </w:p>
    <w:p w14:paraId="79EEE9E4">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项目效益类指标包括项目实施效益和满意度两方面的内容，由</w:t>
      </w:r>
      <w:r>
        <w:rPr>
          <w:rFonts w:hint="eastAsia" w:eastAsia="仿宋_GB2312" w:cs="Times New Roman"/>
          <w:color w:val="auto"/>
          <w:sz w:val="32"/>
          <w:szCs w:val="32"/>
          <w:highlight w:val="none"/>
          <w:lang w:val="en-US" w:eastAsia="zh-CN"/>
        </w:rPr>
        <w:t>3</w:t>
      </w:r>
      <w:r>
        <w:rPr>
          <w:rFonts w:hint="default" w:ascii="Times New Roman" w:hAnsi="Times New Roman" w:eastAsia="仿宋_GB2312" w:cs="Times New Roman"/>
          <w:color w:val="auto"/>
          <w:sz w:val="32"/>
          <w:szCs w:val="32"/>
          <w:highlight w:val="none"/>
          <w:lang w:val="en-US" w:eastAsia="zh-CN"/>
        </w:rPr>
        <w:t>个三级指标构成，权重分为20分，实际得分</w:t>
      </w:r>
      <w:r>
        <w:rPr>
          <w:rFonts w:hint="eastAsia"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lang w:val="en-US" w:eastAsia="zh-CN"/>
        </w:rPr>
        <w:t>分，得分率为</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lang w:val="en-US" w:eastAsia="zh-CN"/>
        </w:rPr>
        <w:t>%。具体效益指标及满意度指标完成情况如下：</w:t>
      </w:r>
    </w:p>
    <w:p w14:paraId="3ABD6829">
      <w:pPr>
        <w:numPr>
          <w:ilvl w:val="0"/>
          <w:numId w:val="5"/>
        </w:num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实施效益</w:t>
      </w:r>
    </w:p>
    <w:p w14:paraId="6579A9D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600" w:lineRule="exact"/>
        <w:ind w:firstLine="640" w:firstLineChars="200"/>
        <w:textAlignment w:val="auto"/>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①</w:t>
      </w:r>
      <w:r>
        <w:rPr>
          <w:rFonts w:hint="default" w:ascii="Times New Roman" w:hAnsi="Times New Roman" w:eastAsia="仿宋_GB2312" w:cs="Times New Roman"/>
          <w:color w:val="auto"/>
          <w:sz w:val="32"/>
          <w:szCs w:val="32"/>
          <w:highlight w:val="none"/>
        </w:rPr>
        <w:t>社会效益指标：</w:t>
      </w:r>
    </w:p>
    <w:p w14:paraId="3677158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12</w:t>
      </w:r>
      <w:r>
        <w:rPr>
          <w:rFonts w:hint="default" w:ascii="Times New Roman" w:hAnsi="Times New Roman" w:eastAsia="仿宋_GB2312" w:cs="Times New Roman"/>
          <w:color w:val="auto"/>
          <w:sz w:val="32"/>
          <w:szCs w:val="32"/>
          <w:highlight w:val="none"/>
        </w:rPr>
        <w:t>：指标值：</w:t>
      </w:r>
      <w:r>
        <w:rPr>
          <w:rFonts w:hint="default" w:ascii="Times New Roman" w:hAnsi="Times New Roman" w:eastAsia="仿宋_GB2312" w:cs="Times New Roman"/>
          <w:color w:val="auto"/>
          <w:sz w:val="32"/>
          <w:szCs w:val="32"/>
          <w:highlight w:val="none"/>
          <w:lang w:val="en-US" w:eastAsia="zh-CN"/>
        </w:rPr>
        <w:t>减轻学生家庭经济负担</w:t>
      </w:r>
      <w:r>
        <w:rPr>
          <w:rFonts w:hint="default" w:ascii="Times New Roman" w:hAnsi="Times New Roman" w:eastAsia="仿宋_GB2312" w:cs="Times New Roman"/>
          <w:color w:val="auto"/>
          <w:sz w:val="32"/>
          <w:szCs w:val="32"/>
          <w:highlight w:val="none"/>
        </w:rPr>
        <w:t>，实际完成值：</w:t>
      </w:r>
      <w:r>
        <w:rPr>
          <w:rFonts w:hint="eastAsia" w:eastAsia="仿宋_GB2312" w:cs="Times New Roman"/>
          <w:color w:val="auto"/>
          <w:sz w:val="32"/>
          <w:szCs w:val="32"/>
          <w:highlight w:val="none"/>
          <w:lang w:eastAsia="zh-CN"/>
        </w:rPr>
        <w:t>有效减轻</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p>
    <w:p w14:paraId="313D6386">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2.满意度</w:t>
      </w:r>
    </w:p>
    <w:p w14:paraId="5C64468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学生满意度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eastAsia="zh-CN"/>
        </w:rPr>
        <w:t>=95.8%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p>
    <w:p w14:paraId="17EB4C40">
      <w:pPr>
        <w:shd w:val="clear" w:color="auto" w:fill="auto"/>
        <w:spacing w:line="600" w:lineRule="exact"/>
        <w:ind w:firstLine="640" w:firstLineChars="200"/>
        <w:outlineLvl w:val="0"/>
        <w:rPr>
          <w:rFonts w:hint="eastAsia"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指标</w:t>
      </w:r>
      <w:r>
        <w:rPr>
          <w:rFonts w:hint="eastAsia" w:eastAsia="仿宋_GB2312" w:cs="Times New Roman"/>
          <w:color w:val="auto"/>
          <w:sz w:val="32"/>
          <w:szCs w:val="32"/>
          <w:highlight w:val="none"/>
          <w:lang w:val="en-US" w:eastAsia="zh-CN"/>
        </w:rPr>
        <w:t>13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家长满意度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rPr>
        <w:t>指标值：&gt;=95%，实际完成值：</w:t>
      </w:r>
      <w:r>
        <w:rPr>
          <w:rFonts w:hint="eastAsia" w:eastAsia="仿宋_GB2312" w:cs="Times New Roman"/>
          <w:color w:val="auto"/>
          <w:sz w:val="32"/>
          <w:szCs w:val="32"/>
          <w:highlight w:val="none"/>
          <w:lang w:eastAsia="zh-CN"/>
        </w:rPr>
        <w:t>=95.8%</w:t>
      </w:r>
      <w:r>
        <w:rPr>
          <w:rFonts w:hint="default" w:ascii="Times New Roman" w:hAnsi="Times New Roman" w:eastAsia="仿宋_GB2312" w:cs="Times New Roman"/>
          <w:color w:val="auto"/>
          <w:sz w:val="32"/>
          <w:szCs w:val="32"/>
          <w:highlight w:val="none"/>
        </w:rPr>
        <w:t>，指标完成率</w:t>
      </w:r>
      <w:r>
        <w:rPr>
          <w:rFonts w:hint="eastAsia" w:eastAsia="仿宋_GB2312" w:cs="Times New Roman"/>
          <w:color w:val="auto"/>
          <w:sz w:val="32"/>
          <w:szCs w:val="32"/>
          <w:highlight w:val="none"/>
          <w:lang w:val="en-US" w:eastAsia="zh-CN"/>
        </w:rPr>
        <w:t>100</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eastAsia="zh-CN"/>
        </w:rPr>
        <w:t>。</w:t>
      </w:r>
    </w:p>
    <w:p w14:paraId="471CB1A0">
      <w:pPr>
        <w:spacing w:line="560" w:lineRule="exact"/>
        <w:ind w:firstLine="643" w:firstLineChars="200"/>
        <w:rPr>
          <w:rFonts w:hint="default" w:ascii="Times New Roman" w:hAnsi="Times New Roman" w:eastAsia="楷体_GB2312" w:cs="Times New Roman"/>
          <w:b/>
          <w:bCs/>
          <w:color w:val="auto"/>
          <w:sz w:val="32"/>
          <w:szCs w:val="32"/>
          <w:highlight w:val="none"/>
          <w:lang w:val="en-US"/>
        </w:rPr>
      </w:pPr>
      <w:r>
        <w:rPr>
          <w:rFonts w:hint="default" w:ascii="Times New Roman" w:hAnsi="Times New Roman" w:eastAsia="楷体_GB2312" w:cs="Times New Roman"/>
          <w:b/>
          <w:bCs/>
          <w:color w:val="auto"/>
          <w:sz w:val="32"/>
          <w:szCs w:val="32"/>
          <w:highlight w:val="none"/>
          <w:lang w:val="en-US" w:eastAsia="zh-CN"/>
        </w:rPr>
        <w:t>（五）</w:t>
      </w:r>
      <w:r>
        <w:rPr>
          <w:rFonts w:hint="default" w:ascii="Times New Roman" w:hAnsi="Times New Roman" w:eastAsia="楷体_GB2312" w:cs="Times New Roman"/>
          <w:b/>
          <w:bCs/>
          <w:color w:val="auto"/>
          <w:sz w:val="32"/>
          <w:szCs w:val="32"/>
          <w:highlight w:val="none"/>
          <w:lang w:val="en-US"/>
        </w:rPr>
        <w:t>预算执行进度与绩效指标总体完成率偏差</w:t>
      </w:r>
    </w:p>
    <w:p w14:paraId="6702770B">
      <w:pPr>
        <w:pStyle w:val="20"/>
        <w:spacing w:line="560" w:lineRule="exact"/>
        <w:ind w:firstLine="640"/>
        <w:rPr>
          <w:rFonts w:hint="default" w:ascii="Times New Roman" w:hAnsi="Times New Roman" w:eastAsia="仿宋_GB2312" w:cs="Times New Roman"/>
          <w:color w:val="auto"/>
          <w:kern w:val="2"/>
          <w:sz w:val="32"/>
          <w:szCs w:val="32"/>
          <w:highlight w:val="none"/>
          <w:lang w:val="en-US" w:eastAsia="zh-CN" w:bidi="ar-SA"/>
        </w:rPr>
      </w:pPr>
      <w:r>
        <w:rPr>
          <w:rFonts w:hint="default" w:ascii="Times New Roman" w:hAnsi="Times New Roman" w:eastAsia="仿宋_GB2312" w:cs="Times New Roman"/>
          <w:color w:val="auto"/>
          <w:kern w:val="2"/>
          <w:sz w:val="32"/>
          <w:szCs w:val="32"/>
          <w:highlight w:val="none"/>
          <w:lang w:val="en-US" w:eastAsia="zh-CN" w:bidi="ar-SA"/>
        </w:rPr>
        <w:t>城乡义务教育保障机制经费项目年初预算</w:t>
      </w:r>
      <w:r>
        <w:rPr>
          <w:rFonts w:hint="eastAsia" w:ascii="Times New Roman" w:hAnsi="Times New Roman" w:eastAsia="仿宋_GB2312" w:cs="Times New Roman"/>
          <w:color w:val="auto"/>
          <w:kern w:val="2"/>
          <w:sz w:val="32"/>
          <w:szCs w:val="32"/>
          <w:highlight w:val="none"/>
          <w:lang w:val="en-US" w:eastAsia="zh-CN" w:bidi="ar-SA"/>
        </w:rPr>
        <w:t>217.64</w:t>
      </w:r>
      <w:r>
        <w:rPr>
          <w:rFonts w:hint="default" w:ascii="Times New Roman" w:hAnsi="Times New Roman" w:eastAsia="仿宋_GB2312" w:cs="Times New Roman"/>
          <w:color w:val="auto"/>
          <w:kern w:val="2"/>
          <w:sz w:val="32"/>
          <w:szCs w:val="32"/>
          <w:highlight w:val="none"/>
          <w:lang w:val="en-US" w:eastAsia="zh-CN" w:bidi="ar-SA"/>
        </w:rPr>
        <w:t>万元，全年预算204.99万元，实际支出192.75万元，预算执行率为</w:t>
      </w:r>
      <w:r>
        <w:rPr>
          <w:rFonts w:hint="eastAsia" w:ascii="Times New Roman" w:hAnsi="Times New Roman" w:eastAsia="仿宋_GB2312" w:cs="Times New Roman"/>
          <w:color w:val="auto"/>
          <w:kern w:val="2"/>
          <w:sz w:val="32"/>
          <w:szCs w:val="32"/>
          <w:highlight w:val="none"/>
          <w:lang w:val="en-US" w:eastAsia="zh-CN" w:bidi="ar-SA"/>
        </w:rPr>
        <w:t>94.03</w:t>
      </w:r>
      <w:r>
        <w:rPr>
          <w:rFonts w:hint="default" w:ascii="Times New Roman" w:hAnsi="Times New Roman" w:eastAsia="仿宋_GB2312" w:cs="Times New Roman"/>
          <w:color w:val="auto"/>
          <w:kern w:val="2"/>
          <w:sz w:val="32"/>
          <w:szCs w:val="32"/>
          <w:highlight w:val="none"/>
          <w:lang w:val="en-US" w:eastAsia="zh-CN" w:bidi="ar-SA"/>
        </w:rPr>
        <w:t>%，项目绩效指标总体完成率为</w:t>
      </w:r>
      <w:r>
        <w:rPr>
          <w:rFonts w:hint="eastAsia" w:ascii="Times New Roman" w:hAnsi="Times New Roman" w:eastAsia="仿宋_GB2312" w:cs="Times New Roman"/>
          <w:color w:val="auto"/>
          <w:kern w:val="2"/>
          <w:sz w:val="32"/>
          <w:szCs w:val="32"/>
          <w:highlight w:val="none"/>
          <w:lang w:val="en-US" w:eastAsia="zh-CN" w:bidi="ar-SA"/>
        </w:rPr>
        <w:t>98.32</w:t>
      </w:r>
      <w:r>
        <w:rPr>
          <w:rFonts w:hint="default"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bidi="ar-SA"/>
        </w:rPr>
        <w:t>总体</w:t>
      </w:r>
      <w:r>
        <w:rPr>
          <w:rFonts w:hint="default" w:ascii="Times New Roman" w:hAnsi="Times New Roman" w:eastAsia="仿宋_GB2312" w:cs="Times New Roman"/>
          <w:color w:val="auto"/>
          <w:kern w:val="2"/>
          <w:sz w:val="32"/>
          <w:szCs w:val="32"/>
          <w:highlight w:val="none"/>
          <w:lang w:val="en-US" w:eastAsia="zh-CN" w:bidi="ar-SA"/>
        </w:rPr>
        <w:t>偏差率为</w:t>
      </w:r>
      <w:r>
        <w:rPr>
          <w:rFonts w:hint="eastAsia" w:ascii="Times New Roman" w:hAnsi="Times New Roman" w:eastAsia="仿宋_GB2312" w:cs="Times New Roman"/>
          <w:color w:val="auto"/>
          <w:kern w:val="2"/>
          <w:sz w:val="32"/>
          <w:szCs w:val="32"/>
          <w:highlight w:val="none"/>
          <w:lang w:val="en-US" w:eastAsia="zh-CN" w:bidi="ar-SA"/>
        </w:rPr>
        <w:t>1.68</w:t>
      </w:r>
      <w:r>
        <w:rPr>
          <w:rFonts w:hint="default" w:ascii="Times New Roman" w:hAnsi="Times New Roman"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w:t>
      </w:r>
      <w:r>
        <w:rPr>
          <w:rFonts w:hint="default" w:ascii="Times New Roman" w:hAnsi="Times New Roman" w:eastAsia="仿宋_GB2312" w:cs="Times New Roman"/>
          <w:color w:val="auto"/>
          <w:kern w:val="2"/>
          <w:sz w:val="32"/>
          <w:szCs w:val="32"/>
          <w:highlight w:val="none"/>
          <w:lang w:val="en-US" w:bidi="ar-SA"/>
        </w:rPr>
        <w:t>偏差</w:t>
      </w:r>
      <w:r>
        <w:rPr>
          <w:rFonts w:hint="default" w:ascii="Times New Roman" w:hAnsi="Times New Roman" w:eastAsia="仿宋_GB2312" w:cs="Times New Roman"/>
          <w:color w:val="auto"/>
          <w:kern w:val="2"/>
          <w:sz w:val="32"/>
          <w:szCs w:val="32"/>
          <w:highlight w:val="none"/>
          <w:lang w:val="en-US" w:eastAsia="zh-CN" w:bidi="ar-SA"/>
        </w:rPr>
        <w:t>原因本年补助已经发放到位，产生结余的原因是学生人数变动，秋季招生数减少导致资金结余，</w:t>
      </w:r>
      <w:r>
        <w:rPr>
          <w:rFonts w:hint="default" w:ascii="Times New Roman" w:hAnsi="Times New Roman" w:eastAsia="仿宋_GB2312" w:cs="Times New Roman"/>
          <w:color w:val="auto"/>
          <w:kern w:val="2"/>
          <w:sz w:val="32"/>
          <w:szCs w:val="32"/>
          <w:highlight w:val="none"/>
          <w:lang w:val="en-US" w:bidi="ar-SA"/>
        </w:rPr>
        <w:t>改进</w:t>
      </w:r>
      <w:r>
        <w:rPr>
          <w:rFonts w:hint="default" w:ascii="Times New Roman" w:hAnsi="Times New Roman" w:eastAsia="仿宋_GB2312" w:cs="Times New Roman"/>
          <w:color w:val="auto"/>
          <w:kern w:val="2"/>
          <w:sz w:val="32"/>
          <w:szCs w:val="32"/>
          <w:highlight w:val="none"/>
          <w:lang w:val="en-US" w:eastAsia="zh-CN" w:bidi="ar-SA"/>
        </w:rPr>
        <w:t>措施</w:t>
      </w:r>
      <w:r>
        <w:rPr>
          <w:rFonts w:hint="eastAsia" w:ascii="Times New Roman" w:hAnsi="Times New Roman" w:eastAsia="仿宋_GB2312" w:cs="Times New Roman"/>
          <w:color w:val="auto"/>
          <w:kern w:val="2"/>
          <w:sz w:val="32"/>
          <w:szCs w:val="32"/>
          <w:highlight w:val="none"/>
          <w:lang w:val="en-US" w:eastAsia="zh-CN" w:bidi="ar-SA"/>
        </w:rPr>
        <w:t>是：严格执行预算，按期进行监控，控制预算执行</w:t>
      </w:r>
      <w:r>
        <w:rPr>
          <w:rFonts w:hint="default" w:ascii="Times New Roman" w:hAnsi="Times New Roman" w:eastAsia="仿宋_GB2312" w:cs="Times New Roman"/>
          <w:color w:val="auto"/>
          <w:kern w:val="2"/>
          <w:sz w:val="32"/>
          <w:szCs w:val="32"/>
          <w:highlight w:val="none"/>
          <w:lang w:val="en-US" w:eastAsia="zh-CN" w:bidi="ar-SA"/>
        </w:rPr>
        <w:t>。</w:t>
      </w:r>
    </w:p>
    <w:p w14:paraId="4F7FB7E7">
      <w:pPr>
        <w:spacing w:line="560" w:lineRule="exact"/>
        <w:ind w:firstLine="640" w:firstLineChars="200"/>
        <w:rPr>
          <w:rStyle w:val="19"/>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14:paraId="7AD4EDE4">
      <w:pPr>
        <w:spacing w:line="560" w:lineRule="exact"/>
        <w:ind w:firstLine="627" w:firstLineChars="200"/>
        <w:rPr>
          <w:rFonts w:hint="default" w:ascii="Times New Roman" w:hAnsi="Times New Roman" w:eastAsia="楷体" w:cs="Times New Roman"/>
          <w:b/>
          <w:color w:val="auto"/>
          <w:spacing w:val="-4"/>
          <w:sz w:val="32"/>
          <w:szCs w:val="32"/>
          <w:highlight w:val="none"/>
        </w:rPr>
      </w:pPr>
      <w:r>
        <w:rPr>
          <w:rFonts w:hint="default" w:ascii="Times New Roman" w:hAnsi="Times New Roman" w:eastAsia="楷体" w:cs="Times New Roman"/>
          <w:b/>
          <w:color w:val="auto"/>
          <w:spacing w:val="-4"/>
          <w:sz w:val="32"/>
          <w:szCs w:val="32"/>
          <w:highlight w:val="none"/>
        </w:rPr>
        <w:t>（一）主要经验及做法</w:t>
      </w:r>
    </w:p>
    <w:p w14:paraId="3EE92AA8">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56BA54A6">
      <w:pPr>
        <w:pStyle w:val="9"/>
        <w:spacing w:before="0" w:after="0" w:line="560" w:lineRule="exact"/>
        <w:ind w:firstLine="640" w:firstLineChars="200"/>
        <w:jc w:val="left"/>
        <w:rPr>
          <w:rFonts w:hint="default" w:ascii="Times New Roman" w:hAnsi="Times New Roman" w:eastAsia="仿宋_GB2312" w:cs="Times New Roman"/>
          <w:b w:val="0"/>
          <w:bCs w:val="0"/>
          <w:color w:val="auto"/>
          <w:kern w:val="2"/>
          <w:highlight w:val="none"/>
        </w:rPr>
      </w:pPr>
      <w:r>
        <w:rPr>
          <w:rFonts w:hint="default" w:ascii="Times New Roman" w:hAnsi="Times New Roman" w:eastAsia="仿宋_GB2312" w:cs="Times New Roman"/>
          <w:b w:val="0"/>
          <w:bCs w:val="0"/>
          <w:color w:val="auto"/>
          <w:kern w:val="2"/>
          <w:highlight w:val="none"/>
        </w:rPr>
        <w:t>严格坚持先做事、后验收、再拨付的原则，</w:t>
      </w:r>
      <w:r>
        <w:rPr>
          <w:rFonts w:hint="eastAsia" w:ascii="Times New Roman" w:hAnsi="Times New Roman" w:eastAsia="仿宋_GB2312" w:cs="Times New Roman"/>
          <w:b w:val="0"/>
          <w:bCs w:val="0"/>
          <w:color w:val="auto"/>
          <w:kern w:val="2"/>
          <w:highlight w:val="none"/>
          <w:lang w:eastAsia="zh-CN"/>
        </w:rPr>
        <w:t>杜绝</w:t>
      </w:r>
      <w:r>
        <w:rPr>
          <w:rFonts w:hint="default" w:ascii="Times New Roman" w:hAnsi="Times New Roman" w:eastAsia="仿宋_GB2312" w:cs="Times New Roman"/>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3A46638">
      <w:pPr>
        <w:keepNext/>
        <w:keepLines/>
        <w:numPr>
          <w:ilvl w:val="0"/>
          <w:numId w:val="6"/>
        </w:num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存在的问题及原因分析</w:t>
      </w:r>
    </w:p>
    <w:p w14:paraId="09F1AF8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6AE7187A">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2.因轮岗、调动</w:t>
      </w:r>
      <w:r>
        <w:rPr>
          <w:rFonts w:hint="eastAsia" w:ascii="Times New Roman" w:hAnsi="Times New Roman" w:eastAsia="仿宋_GB2312" w:cs="Times New Roman"/>
          <w:color w:val="auto"/>
          <w:sz w:val="32"/>
          <w:szCs w:val="32"/>
          <w:highlight w:val="none"/>
          <w:lang w:val="en-US" w:eastAsia="zh-CN"/>
        </w:rPr>
        <w:t>等</w:t>
      </w:r>
      <w:r>
        <w:rPr>
          <w:rFonts w:hint="default" w:ascii="Times New Roman" w:hAnsi="Times New Roman" w:eastAsia="仿宋_GB2312" w:cs="Times New Roman"/>
          <w:color w:val="auto"/>
          <w:sz w:val="32"/>
          <w:szCs w:val="32"/>
          <w:highlight w:val="none"/>
          <w:lang w:val="en-US" w:eastAsia="zh-CN"/>
        </w:rPr>
        <w:t>因素使我单位绩效工作人员流动频繁，</w:t>
      </w:r>
      <w:r>
        <w:rPr>
          <w:rFonts w:hint="eastAsia" w:ascii="Times New Roman" w:hAnsi="Times New Roman" w:eastAsia="仿宋_GB2312" w:cs="Times New Roman"/>
          <w:color w:val="auto"/>
          <w:sz w:val="32"/>
          <w:szCs w:val="32"/>
          <w:highlight w:val="none"/>
          <w:lang w:val="en-US" w:eastAsia="zh-CN"/>
        </w:rPr>
        <w:t>造成</w:t>
      </w:r>
      <w:r>
        <w:rPr>
          <w:rFonts w:hint="default" w:ascii="Times New Roman" w:hAnsi="Times New Roman" w:eastAsia="仿宋_GB2312" w:cs="Times New Roman"/>
          <w:color w:val="auto"/>
          <w:sz w:val="32"/>
          <w:szCs w:val="32"/>
          <w:highlight w:val="none"/>
          <w:lang w:val="en-US" w:eastAsia="zh-CN"/>
        </w:rPr>
        <w:t>工作衔接不到位的情况。</w:t>
      </w:r>
    </w:p>
    <w:p w14:paraId="2898AFA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3..项目支出绩效评价存在局限，客观性有待加强</w:t>
      </w:r>
    </w:p>
    <w:p w14:paraId="56EA8807">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617C4E3B">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六</w:t>
      </w:r>
      <w:r>
        <w:rPr>
          <w:rFonts w:hint="default" w:ascii="Times New Roman" w:hAnsi="Times New Roman"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14:paraId="76DDDAF3">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1.多进行有关绩效管理工作方面的培训。积极组织第三方开展绩效管理工作培训，进一步夯实业务基础，提高我单位绩效人员水平。</w:t>
      </w:r>
    </w:p>
    <w:p w14:paraId="7AFE4CBE">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2.专门设定对绩效工作人员定职、定岗、定责等相关制度措施，进一步提升我单位绩效管理工作业务水平，扎实做好绩效管理工作。</w:t>
      </w:r>
    </w:p>
    <w:p w14:paraId="6CCCF842">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5CB6048E">
      <w:pPr>
        <w:shd w:val="clear" w:color="auto" w:fill="auto"/>
        <w:spacing w:line="600" w:lineRule="exact"/>
        <w:ind w:firstLine="640" w:firstLineChars="200"/>
        <w:outlineLvl w:val="0"/>
        <w:rPr>
          <w:rFonts w:hint="default" w:ascii="Times New Roman" w:hAnsi="Times New Roman" w:cs="Times New Roman"/>
          <w:color w:val="auto"/>
          <w:sz w:val="22"/>
          <w:szCs w:val="28"/>
          <w:highlight w:val="none"/>
        </w:rPr>
      </w:pPr>
      <w:r>
        <w:rPr>
          <w:rFonts w:hint="default" w:ascii="Times New Roman" w:hAnsi="Times New Roman" w:eastAsia="仿宋_GB2312" w:cs="Times New Roman"/>
          <w:color w:val="auto"/>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color w:val="auto"/>
          <w:sz w:val="36"/>
          <w:szCs w:val="32"/>
          <w:highlight w:val="none"/>
        </w:rPr>
        <w:t>。</w:t>
      </w:r>
    </w:p>
    <w:p w14:paraId="3F25E68D">
      <w:pPr>
        <w:shd w:val="clear" w:color="auto" w:fill="auto"/>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761E2DC">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14:paraId="0E7ECB5B">
      <w:pPr>
        <w:pStyle w:val="11"/>
        <w:spacing w:after="0" w:line="560" w:lineRule="exact"/>
        <w:ind w:left="0" w:leftChars="0" w:firstLine="64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本项目无其他需说明的问题。</w:t>
      </w:r>
    </w:p>
    <w:p w14:paraId="39482A68">
      <w:pPr>
        <w:pStyle w:val="11"/>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5549F16E">
      <w:pPr>
        <w:pStyle w:val="11"/>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14:paraId="1DA92E23">
      <w:pPr>
        <w:pStyle w:val="11"/>
        <w:spacing w:after="0" w:line="560" w:lineRule="exact"/>
        <w:ind w:left="0" w:leftChars="0" w:firstLine="640"/>
        <w:rPr>
          <w:rFonts w:hint="default" w:ascii="Times New Roman" w:hAnsi="Times New Roman" w:eastAsia="仿宋_GB2312" w:cs="Times New Roman"/>
          <w:color w:val="auto"/>
          <w:sz w:val="32"/>
          <w:szCs w:val="32"/>
          <w:highlight w:val="none"/>
          <w:lang w:eastAsia="zh-CN"/>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0DE9521-2393-4D69-899B-BE461C1E33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EAE23961-443F-4AE5-A91D-A8B31A6E8B74}"/>
  </w:font>
  <w:font w:name="华文中宋">
    <w:panose1 w:val="02010600040101010101"/>
    <w:charset w:val="86"/>
    <w:family w:val="auto"/>
    <w:pitch w:val="default"/>
    <w:sig w:usb0="00000287" w:usb1="080F0000" w:usb2="00000000" w:usb3="00000000" w:csb0="0004009F" w:csb1="DFD70000"/>
    <w:embedRegular r:id="rId3" w:fontKey="{3CBEAA7C-5869-43D1-A938-EEA61972A54C}"/>
  </w:font>
  <w:font w:name="方正小标宋_GBK">
    <w:panose1 w:val="02000000000000000000"/>
    <w:charset w:val="86"/>
    <w:family w:val="script"/>
    <w:pitch w:val="default"/>
    <w:sig w:usb0="A00002BF" w:usb1="38CF7CFA" w:usb2="00082016" w:usb3="00000000" w:csb0="00040001" w:csb1="00000000"/>
    <w:embedRegular r:id="rId4" w:fontKey="{9647C334-C978-4ED6-B802-F5EF107C9C19}"/>
  </w:font>
  <w:font w:name="楷体_GB2312">
    <w:panose1 w:val="02010609030101010101"/>
    <w:charset w:val="86"/>
    <w:family w:val="auto"/>
    <w:pitch w:val="default"/>
    <w:sig w:usb0="00000001" w:usb1="080E0000" w:usb2="00000000" w:usb3="00000000" w:csb0="00040000" w:csb1="00000000"/>
    <w:embedRegular r:id="rId5" w:fontKey="{6AD0546B-9334-42E7-BDA8-D6B3016BD740}"/>
  </w:font>
  <w:font w:name="方正仿宋_GBK">
    <w:panose1 w:val="02000000000000000000"/>
    <w:charset w:val="86"/>
    <w:family w:val="auto"/>
    <w:pitch w:val="default"/>
    <w:sig w:usb0="A00002BF" w:usb1="38CF7CFA" w:usb2="00082016" w:usb3="00000000" w:csb0="00040001" w:csb1="00000000"/>
    <w:embedRegular r:id="rId6" w:fontKey="{807D1192-7AD9-441C-9196-C052908DA9EB}"/>
  </w:font>
  <w:font w:name="楷体">
    <w:panose1 w:val="02010609060101010101"/>
    <w:charset w:val="86"/>
    <w:family w:val="modern"/>
    <w:pitch w:val="default"/>
    <w:sig w:usb0="800002BF" w:usb1="38CF7CFA" w:usb2="00000016" w:usb3="00000000" w:csb0="00040001" w:csb1="00000000"/>
    <w:embedRegular r:id="rId7" w:fontKey="{D21D0A87-AC44-4C2A-9D38-4F4B9BACF2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5F20E8CA">
        <w:pPr>
          <w:pStyle w:val="6"/>
          <w:jc w:val="center"/>
        </w:pPr>
        <w:r>
          <w:fldChar w:fldCharType="begin"/>
        </w:r>
        <w:r>
          <w:instrText xml:space="preserve">PAGE   \* MERGEFORMAT</w:instrText>
        </w:r>
        <w:r>
          <w:fldChar w:fldCharType="separate"/>
        </w:r>
        <w:r>
          <w:rPr>
            <w:lang w:val="zh-CN"/>
          </w:rPr>
          <w:t>13</w:t>
        </w:r>
        <w:r>
          <w:fldChar w:fldCharType="end"/>
        </w:r>
      </w:p>
    </w:sdtContent>
  </w:sdt>
  <w:p w14:paraId="16EDBC7E">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2"/>
      <w:numFmt w:val="chineseCounting"/>
      <w:suff w:val="nothing"/>
      <w:lvlText w:val="（%1）"/>
      <w:lvlJc w:val="left"/>
      <w:rPr>
        <w:rFonts w:hint="eastAsia"/>
      </w:rPr>
    </w:lvl>
  </w:abstractNum>
  <w:abstractNum w:abstractNumId="1">
    <w:nsid w:val="BF205925"/>
    <w:multiLevelType w:val="singleLevel"/>
    <w:tmpl w:val="BF205925"/>
    <w:lvl w:ilvl="0" w:tentative="0">
      <w:start w:val="3"/>
      <w:numFmt w:val="chineseCounting"/>
      <w:suff w:val="nothing"/>
      <w:lvlText w:val="%1、"/>
      <w:lvlJc w:val="left"/>
      <w:rPr>
        <w:rFonts w:hint="eastAsia"/>
      </w:r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03D62ECE"/>
    <w:multiLevelType w:val="singleLevel"/>
    <w:tmpl w:val="03D62ECE"/>
    <w:lvl w:ilvl="0" w:tentative="0">
      <w:start w:val="1"/>
      <w:numFmt w:val="decimal"/>
      <w:lvlText w:val="%1."/>
      <w:lvlJc w:val="left"/>
      <w:pPr>
        <w:tabs>
          <w:tab w:val="left" w:pos="312"/>
        </w:tabs>
      </w:pPr>
    </w:lvl>
  </w:abstractNum>
  <w:abstractNum w:abstractNumId="4">
    <w:nsid w:val="25B654F3"/>
    <w:multiLevelType w:val="singleLevel"/>
    <w:tmpl w:val="25B654F3"/>
    <w:lvl w:ilvl="0" w:tentative="0">
      <w:start w:val="2"/>
      <w:numFmt w:val="chineseCounting"/>
      <w:suff w:val="nothing"/>
      <w:lvlText w:val="（%1）"/>
      <w:lvlJc w:val="left"/>
      <w:rPr>
        <w:rFonts w:hint="eastAsia"/>
      </w:rPr>
    </w:lvl>
  </w:abstractNum>
  <w:abstractNum w:abstractNumId="5">
    <w:nsid w:val="59ADCABA"/>
    <w:multiLevelType w:val="singleLevel"/>
    <w:tmpl w:val="59ADCABA"/>
    <w:lvl w:ilvl="0" w:tentative="0">
      <w:start w:val="3"/>
      <w:numFmt w:val="chineseCounting"/>
      <w:suff w:val="nothing"/>
      <w:lvlText w:val="（%1）"/>
      <w:lvlJc w:val="left"/>
      <w:rPr>
        <w:rFonts w:hint="eastAsia"/>
      </w:rPr>
    </w:lvl>
  </w:abstractNum>
  <w:num w:numId="1">
    <w:abstractNumId w:val="2"/>
  </w:num>
  <w:num w:numId="2">
    <w:abstractNumId w:val="5"/>
  </w:num>
  <w:num w:numId="3">
    <w:abstractNumId w:val="1"/>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isplayBackgroundShape w:val="1"/>
  <w:embedSystemFonts/>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101D43CC"/>
    <w:rsid w:val="78F91EE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Balloon Text"/>
    <w:basedOn w:val="1"/>
    <w:link w:val="21"/>
    <w:qFormat/>
    <w:uiPriority w:val="0"/>
    <w:rPr>
      <w:sz w:val="18"/>
      <w:szCs w:val="18"/>
    </w:rPr>
  </w:style>
  <w:style w:type="paragraph" w:styleId="6">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7">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rPr>
  </w:style>
  <w:style w:type="paragraph" w:styleId="9">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0">
    <w:name w:val="Body Text First Indent"/>
    <w:basedOn w:val="3"/>
    <w:qFormat/>
    <w:uiPriority w:val="0"/>
    <w:pPr>
      <w:spacing w:after="0"/>
      <w:ind w:firstLine="200" w:firstLineChars="200"/>
    </w:pPr>
  </w:style>
  <w:style w:type="paragraph" w:styleId="11">
    <w:name w:val="Body Text First Indent 2"/>
    <w:basedOn w:val="4"/>
    <w:qFormat/>
    <w:uiPriority w:val="0"/>
    <w:pPr>
      <w:ind w:firstLine="420" w:firstLineChars="200"/>
    </w:pPr>
  </w:style>
  <w:style w:type="table" w:styleId="13">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5">
    <w:name w:val="Strong"/>
    <w:basedOn w:val="14"/>
    <w:qFormat/>
    <w:uiPriority w:val="0"/>
    <w:rPr>
      <w:b/>
      <w:bCs/>
    </w:rPr>
  </w:style>
  <w:style w:type="paragraph" w:customStyle="1" w:styleId="16">
    <w:name w:val="Comment Text"/>
    <w:basedOn w:val="1"/>
    <w:link w:val="23"/>
    <w:qFormat/>
    <w:uiPriority w:val="0"/>
    <w:pPr>
      <w:jc w:val="left"/>
    </w:pPr>
  </w:style>
  <w:style w:type="paragraph" w:customStyle="1" w:styleId="17">
    <w:name w:val="Comment Subject"/>
    <w:basedOn w:val="16"/>
    <w:next w:val="16"/>
    <w:link w:val="24"/>
    <w:qFormat/>
    <w:uiPriority w:val="0"/>
    <w:rPr>
      <w:b/>
      <w:bCs/>
    </w:rPr>
  </w:style>
  <w:style w:type="character" w:customStyle="1" w:styleId="18">
    <w:name w:val="Comment Reference"/>
    <w:basedOn w:val="14"/>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4"/>
    <w:link w:val="5"/>
    <w:qFormat/>
    <w:uiPriority w:val="0"/>
    <w:rPr>
      <w:rFonts w:ascii="Times New Roman" w:hAnsi="Times New Roman" w:eastAsia="宋体" w:cs="Times New Roman"/>
      <w:kern w:val="2"/>
      <w:sz w:val="18"/>
      <w:szCs w:val="18"/>
    </w:rPr>
  </w:style>
  <w:style w:type="character" w:customStyle="1" w:styleId="22">
    <w:name w:val="页眉 字符"/>
    <w:basedOn w:val="14"/>
    <w:link w:val="7"/>
    <w:qFormat/>
    <w:uiPriority w:val="0"/>
    <w:rPr>
      <w:rFonts w:ascii="Times New Roman" w:hAnsi="Times New Roman" w:eastAsia="宋体" w:cs="Times New Roman"/>
      <w:kern w:val="2"/>
      <w:sz w:val="18"/>
      <w:szCs w:val="18"/>
    </w:rPr>
  </w:style>
  <w:style w:type="character" w:customStyle="1" w:styleId="23">
    <w:name w:val="批注文字 字符"/>
    <w:basedOn w:val="14"/>
    <w:link w:val="16"/>
    <w:qFormat/>
    <w:uiPriority w:val="0"/>
    <w:rPr>
      <w:rFonts w:ascii="Times New Roman" w:hAnsi="Times New Roman" w:eastAsia="宋体" w:cs="Times New Roman"/>
      <w:kern w:val="2"/>
      <w:sz w:val="21"/>
      <w:szCs w:val="24"/>
    </w:rPr>
  </w:style>
  <w:style w:type="character" w:customStyle="1" w:styleId="24">
    <w:name w:val="批注主题 字符"/>
    <w:basedOn w:val="23"/>
    <w:link w:val="17"/>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A075C2AEC1C54D1693797747003CB0A9_13</vt:lpwstr>
  </property>
  <property fmtid="{D5CDD505-2E9C-101B-9397-08002B2CF9AE}" pid="4" name="KSOTemplateDocerSaveRecord">
    <vt:lpwstr>eyJoZGlkIjoiOGIxNmYzY2ZkZmQ1Y2UyNjU5NzkxYzdmMWRjOTEwNTUiLCJ1c2VySWQiOiIyODEwNTYxOTAifQ==</vt:lpwstr>
  </property>
</Properties>
</file>

<file path=customXml/itemProps1.xml><?xml version="1.0" encoding="utf-8"?>
<ds:datastoreItem xmlns:ds="http://schemas.openxmlformats.org/officeDocument/2006/customXml" ds:itemID="{e4b4b348-4c38-4510-aa32-3b724adf75ac}">
  <ds:schemaRefs/>
</ds:datastoreItem>
</file>

<file path=docProps/app.xml><?xml version="1.0" encoding="utf-8"?>
<Properties xmlns="http://schemas.openxmlformats.org/officeDocument/2006/extended-properties" xmlns:vt="http://schemas.openxmlformats.org/officeDocument/2006/docPropsVTypes">
  <Template>Normal</Template>
  <Pages>24</Pages>
  <Words>8774</Words>
  <Characters>8991</Characters>
  <Lines>58</Lines>
  <Paragraphs>16</Paragraphs>
  <TotalTime>6</TotalTime>
  <ScaleCrop>false</ScaleCrop>
  <LinksUpToDate>false</LinksUpToDate>
  <CharactersWithSpaces>8995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雨。</cp:lastModifiedBy>
  <dcterms:modified xsi:type="dcterms:W3CDTF">2025-10-31T10:51:19Z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A075C2AEC1C54D1693797747003CB0A9_13</vt:lpwstr>
  </property>
  <property fmtid="{D5CDD505-2E9C-101B-9397-08002B2CF9AE}" pid="4" name="KSOTemplateDocerSaveRecord">
    <vt:lpwstr>eyJoZGlkIjoiZjZjY2YzNDY3YWM4YThjNjdkZTk2MDAwYjE2OGQzNDQiLCJ1c2VySWQiOiIzNzI2MDMzNTYifQ==</vt:lpwstr>
  </property>
</Properties>
</file>